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5a3e97de7b9b7e30eeec9fa828ded7cbc2a9ee"/>
    <w:p>
      <w:pPr>
        <w:pStyle w:val="Heading1"/>
      </w:pPr>
      <w:r>
        <w:t xml:space="preserve">Lesson 2: Contemos y comparemos colecciones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K.CC.B.4, K.CC.B.5, K.CC.C,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y comparemos colecciones.</w:t>
      </w:r>
    </w:p>
    <w:bookmarkEnd w:id="25"/>
    <w:bookmarkStart w:id="26" w:name="lesson-purpose"/>
    <w:p>
      <w:pPr>
        <w:pStyle w:val="Heading3"/>
      </w:pPr>
      <w:r>
        <w:t xml:space="preserve">Lesson Purpose</w:t>
      </w:r>
    </w:p>
    <w:p>
      <w:pPr>
        <w:pStyle w:val="FirstParagraph"/>
      </w:pPr>
      <w:r>
        <w:t xml:space="preserve">The purpose of this lesson is for students to count and compare collections of up to 20 objects.</w:t>
      </w:r>
    </w:p>
    <w:p>
      <w:pPr>
        <w:pStyle w:val="BodyText"/>
      </w:pPr>
      <w:r>
        <w:t xml:space="preserve">This lesson is optional because the standards do not require students to compare groups of objects or written numbers beyond 10. As students represent and compare larger collections, organizing the objects and representations becomes more important to help students keep track. Give students access to 10-frames to help them organize their collections if they choose.</w:t>
      </w:r>
    </w:p>
    <w:p>
      <w:pPr>
        <w:pStyle w:val="BodyText"/>
      </w:pPr>
      <w:r>
        <w:t xml:space="preserve">Collections can be created from classroom objects such as connecting cubes, two-color counters, pattern blocks, or buttons. Students can also bring in collections of objects to count from home.</w:t>
      </w:r>
    </w:p>
    <w:p>
      <w:pPr>
        <w:pStyle w:val="BodyText"/>
      </w:pPr>
      <w:r>
        <w:t xml:space="preserve">If students need additional support with the concepts in this lesson, refer back to Unit 6,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read, and write numbers up to 20.</w:t>
      </w:r>
    </w:p>
    <w:p>
      <w:pPr>
        <w:numPr>
          <w:ilvl w:val="0"/>
          <w:numId w:val="1006"/>
        </w:numPr>
        <w:pStyle w:val="Compact"/>
      </w:pPr>
      <w:r>
        <w:t xml:space="preserve">Use numbers and their knowledge of the count sequence to compare groups of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2022-12-14T22:51:33Z</dcterms:created>
  <dcterms:modified xsi:type="dcterms:W3CDTF">2022-12-14T22:51:33Z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woFMBlwjhFHww55t94o3hM5XE9frHzg5bSOm8kCTLR3mhQlfMKt8DDUnPXOm7hvs979qUf+VZSLoqUOCNJwuQA==</vt:lpwstr>
  </property>
</Properties>
</file>