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5.png" ContentType="image/png"/>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0" w:name="X1abc5b40cb8d1ca058f94251979bc768ee6990b"/>
    <w:p>
      <w:pPr>
        <w:pStyle w:val="Heading1"/>
      </w:pPr>
      <w:r>
        <w:t xml:space="preserve">Lesson 10: Dibujos, situaciones y diagramas, ¡oh, vaya!</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3.OA.A, 3.OA.A.1</w:t>
            </w:r>
          </w:p>
        </w:tc>
      </w:tr>
      <w:tr>
        <w:tc>
          <w:tcPr/>
          <w:p>
            <w:pPr>
              <w:pStyle w:val="Compact"/>
              <w:jc w:val="left"/>
            </w:pPr>
            <w:r>
              <w:t xml:space="preserve">Building Towards</w:t>
            </w:r>
          </w:p>
        </w:tc>
        <w:tc>
          <w:tcPr/>
          <w:p>
            <w:pPr>
              <w:pStyle w:val="Compact"/>
              <w:jc w:val="left"/>
            </w:pPr>
            <w:r>
              <w:t xml:space="preserve">3.OA.A.1</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Interpret a situation involving equal groups and represent it with a diagram.</w:t>
      </w:r>
    </w:p>
    <w:p>
      <w:pPr>
        <w:numPr>
          <w:ilvl w:val="0"/>
          <w:numId w:val="1001"/>
        </w:numPr>
        <w:pStyle w:val="Compact"/>
      </w:pPr>
      <w:r>
        <w:t xml:space="preserve">Make sense of tape diagrams that represent multiplication.</w:t>
      </w:r>
    </w:p>
    <w:bookmarkEnd w:id="24"/>
    <w:bookmarkStart w:id="25" w:name="student-facing-learning-goals"/>
    <w:p>
      <w:pPr>
        <w:pStyle w:val="Heading3"/>
      </w:pPr>
      <w:r>
        <w:t xml:space="preserve">Student-facing Learning Goals</w:t>
      </w:r>
    </w:p>
    <w:p>
      <w:pPr>
        <w:numPr>
          <w:ilvl w:val="0"/>
          <w:numId w:val="1002"/>
        </w:numPr>
        <w:pStyle w:val="Compact"/>
      </w:pPr>
      <w:r>
        <w:t xml:space="preserve">Representemos grupos iguales.</w:t>
      </w:r>
    </w:p>
    <w:bookmarkEnd w:id="25"/>
    <w:bookmarkStart w:id="26" w:name="lesson-purpose"/>
    <w:p>
      <w:pPr>
        <w:pStyle w:val="Heading3"/>
      </w:pPr>
      <w:r>
        <w:t xml:space="preserve">Lesson Purpose</w:t>
      </w:r>
    </w:p>
    <w:p>
      <w:pPr>
        <w:pStyle w:val="FirstParagraph"/>
      </w:pPr>
      <w:r>
        <w:t xml:space="preserve">The purpose of this lesson is for students to connect situations involving equal groups to tape diagrams.</w:t>
      </w:r>
    </w:p>
    <w:p>
      <w:pPr>
        <w:pStyle w:val="BodyText"/>
      </w:pPr>
      <w:r>
        <w:t xml:space="preserve">This lesson introduces tape diagrams as a way to represent equal groups and multiplication, building on students' work with scaled picture graphs and discrete drawings of equal groups. Students deepen their understanding of multiplication as they connect tape diagrams to situations that involve equal groups. They are then introduced to multiplication</w:t>
      </w:r>
      <w:r>
        <w:t xml:space="preserve"> </w:t>
      </w:r>
      <w:r>
        <w:rPr>
          <w:bCs/>
          <w:b/>
        </w:rPr>
        <w:t xml:space="preserve">expressions</w:t>
      </w:r>
      <w:r>
        <w:t xml:space="preserve"> </w:t>
      </w:r>
      <w:r>
        <w:t xml:space="preserve">as a way to represent the quantities and situations encountered in the lesson. This happens at the end to allow students to work with other representations of multiplication before they learn about abstract symbols that represent multiplication.</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Card Sort (Activity 2), Notice and Wonder (Warm-up)</w:t>
      </w:r>
    </w:p>
    <w:bookmarkEnd w:id="36"/>
    <w:bookmarkStart w:id="37" w:name="materials-to-copy"/>
    <w:p>
      <w:pPr>
        <w:pStyle w:val="Heading3"/>
      </w:pPr>
      <w:r>
        <w:t xml:space="preserve">Materials to Copy</w:t>
      </w:r>
    </w:p>
    <w:p>
      <w:pPr>
        <w:numPr>
          <w:ilvl w:val="0"/>
          <w:numId w:val="1005"/>
        </w:numPr>
        <w:pStyle w:val="Compact"/>
      </w:pPr>
      <w:r>
        <w:t xml:space="preserve">Card Sort Equal Groups, Spanish (groups of 2): Activity 2</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How did connecting different representations of multiplication during the card sort support students in developing their understanding of multiplication?</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Cajas de camisas</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3.OA.A</w:t>
            </w:r>
          </w:p>
        </w:tc>
      </w:tr>
    </w:tbl>
    <w:bookmarkEnd w:id="44"/>
    <w:bookmarkStart w:id="48" w:name="student-facing-task-statement"/>
    <w:p>
      <w:pPr>
        <w:pStyle w:val="Heading3"/>
      </w:pPr>
      <w:r>
        <w:t xml:space="preserve">Student-facing Task Statement</w:t>
      </w:r>
    </w:p>
    <w:p>
      <w:pPr>
        <w:pStyle w:val="FirstParagraph"/>
      </w:pPr>
      <w:r>
        <w:t xml:space="preserve">En la tienda hay 4 cajas. En cada caja hay 10 camisas.</w:t>
      </w:r>
    </w:p>
    <w:p>
      <w:pPr>
        <w:pStyle w:val="BodyText"/>
      </w:pPr>
      <w:r>
        <w:t xml:space="preserve">¿Este diagrama corresponde a la situación? Explica tu razonamiento.</w:t>
      </w:r>
    </w:p>
    <w:p>
      <w:pPr>
        <w:pStyle w:val="BodyText"/>
      </w:pPr>
      <w:r>
        <w:drawing>
          <wp:inline>
            <wp:extent cx="2971800" cy="411491"/>
            <wp:effectExtent b="0" l="0" r="0" t="0"/>
            <wp:docPr descr="Diagram. A rectangle split into 4 equal parts, each labeled 10." title="" id="46" name="Picture"/>
            <a:graphic>
              <a:graphicData uri="http://schemas.openxmlformats.org/drawingml/2006/picture">
                <pic:pic>
                  <pic:nvPicPr>
                    <pic:cNvPr descr="/app/tmp/embedder-1671062064.3428583.png" id="47" name="Picture"/>
                    <pic:cNvPicPr>
                      <a:picLocks noChangeArrowheads="1" noChangeAspect="1"/>
                    </pic:cNvPicPr>
                  </pic:nvPicPr>
                  <pic:blipFill>
                    <a:blip r:embed="rId45"/>
                    <a:stretch>
                      <a:fillRect/>
                    </a:stretch>
                  </pic:blipFill>
                  <pic:spPr bwMode="auto">
                    <a:xfrm>
                      <a:off x="0" y="0"/>
                      <a:ext cx="2971800" cy="411491"/>
                    </a:xfrm>
                    <a:prstGeom prst="rect">
                      <a:avLst/>
                    </a:prstGeom>
                    <a:noFill/>
                    <a:ln w="9525">
                      <a:noFill/>
                      <a:headEnd/>
                      <a:tailEnd/>
                    </a:ln>
                  </pic:spPr>
                </pic:pic>
              </a:graphicData>
            </a:graphic>
          </wp:inline>
        </w:drawing>
      </w:r>
    </w:p>
    <w:bookmarkEnd w:id="48"/>
    <w:bookmarkStart w:id="49" w:name="student-responses"/>
    <w:p>
      <w:pPr>
        <w:pStyle w:val="Heading3"/>
      </w:pPr>
      <w:r>
        <w:t xml:space="preserve">Student Responses</w:t>
      </w:r>
    </w:p>
    <w:p>
      <w:pPr>
        <w:pStyle w:val="FirstParagraph"/>
      </w:pPr>
      <w:r>
        <w:t xml:space="preserve">Yes, because the 4 parts represent the 4 boxes and the 10 in each part represents the 10 shirts in each box.</w:t>
      </w:r>
    </w:p>
    <w:bookmarkEnd w:id="49"/>
    <w:bookmarkEnd w:id="50"/>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5" Target="media/rId45.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2022-12-14T23:54:25Z</dcterms:created>
  <dcterms:modified xsi:type="dcterms:W3CDTF">2022-12-14T23:54:25Z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Xa2ZpRFERGLTPpc/EncnSls++KlE8jX0GOjuF/9XJ2F5qdz8fcy8PxbaNCFDEwsiYtaBL1B4aO+dYgtni1gkPA==</vt:lpwstr>
  </property>
</Properties>
</file>