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7-collect-and-represent-data"/>
    <w:p>
      <w:pPr>
        <w:pStyle w:val="Heading1"/>
      </w:pPr>
      <w:r>
        <w:t xml:space="preserve">Lesson 7: Collect and Represent Data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2.MD.D.10</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different representations of the same data to identify common features.</w:t>
      </w:r>
    </w:p>
    <w:p>
      <w:pPr>
        <w:numPr>
          <w:ilvl w:val="0"/>
          <w:numId w:val="1001"/>
        </w:numPr>
        <w:pStyle w:val="Compact"/>
      </w:pPr>
      <w:r>
        <w:t xml:space="preserve">Represent data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organize data and share with others.</w:t>
      </w:r>
    </w:p>
    <w:bookmarkEnd w:id="25"/>
    <w:bookmarkStart w:id="26" w:name="lesson-purpose"/>
    <w:p>
      <w:pPr>
        <w:pStyle w:val="Heading3"/>
      </w:pPr>
      <w:r>
        <w:t xml:space="preserve">Lesson Purpose</w:t>
      </w:r>
    </w:p>
    <w:p>
      <w:pPr>
        <w:pStyle w:val="FirstParagraph"/>
      </w:pPr>
      <w:r>
        <w:t xml:space="preserve">The mathematical purpose of this lesson is to elicit and build on students’ previous understandings and experiences with organizing and representing</w:t>
      </w:r>
      <w:r>
        <w:t xml:space="preserve"> </w:t>
      </w:r>
      <w:r>
        <w:rPr>
          <w:bCs/>
          <w:b/>
        </w:rPr>
        <w:t xml:space="preserve">data</w:t>
      </w:r>
      <w:r>
        <w:t xml:space="preserve">.</w:t>
      </w:r>
    </w:p>
    <w:p>
      <w:pPr>
        <w:pStyle w:val="BodyText"/>
      </w:pPr>
      <w:r>
        <w:t xml:space="preserve">In grade 1, students collected data and represented it in different ways. In this lesson, students collect data about their class, answer questions, discuss the need to represent data in an organized way, and create their own representations of their data. Throughout the lesson monitor for the different ways students choose to organize and represent the data and ask them about the decisions they make. In upcoming lessons, students learn how to interpret and represent data using picture and bar graphs.</w:t>
      </w:r>
    </w:p>
    <w:p>
      <w:pPr>
        <w:pStyle w:val="BodyText"/>
      </w:pPr>
      <w:r>
        <w:t xml:space="preserve">In this lesson, students collect data about the question “How do we get to school?” If this question is not relevant to your class, choose a different survey question or change the categories to be more relevant for your students.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Glue: Activity 2</w:t>
      </w:r>
    </w:p>
    <w:p>
      <w:pPr>
        <w:numPr>
          <w:ilvl w:val="0"/>
          <w:numId w:val="1004"/>
        </w:numPr>
        <w:pStyle w:val="Compact"/>
      </w:pPr>
      <w:r>
        <w:t xml:space="preserve">Markers: Activity 2</w:t>
      </w:r>
    </w:p>
    <w:p>
      <w:pPr>
        <w:numPr>
          <w:ilvl w:val="0"/>
          <w:numId w:val="1004"/>
        </w:numPr>
        <w:pStyle w:val="Compact"/>
      </w:pPr>
      <w:r>
        <w:t xml:space="preserve">Materials from a previous activity: Activity 2</w:t>
      </w:r>
    </w:p>
    <w:p>
      <w:pPr>
        <w:numPr>
          <w:ilvl w:val="0"/>
          <w:numId w:val="1004"/>
        </w:numPr>
        <w:pStyle w:val="Compact"/>
      </w:pPr>
      <w:r>
        <w:t xml:space="preserve">Scissors: Activity 1, Activity 2</w:t>
      </w:r>
    </w:p>
    <w:p>
      <w:pPr>
        <w:numPr>
          <w:ilvl w:val="0"/>
          <w:numId w:val="1004"/>
        </w:numPr>
        <w:pStyle w:val="Compact"/>
      </w:pPr>
      <w:r>
        <w:t xml:space="preserve">Stickers: Activity 2</w:t>
      </w:r>
    </w:p>
    <w:p>
      <w:pPr>
        <w:numPr>
          <w:ilvl w:val="0"/>
          <w:numId w:val="1004"/>
        </w:numPr>
        <w:pStyle w:val="Compact"/>
      </w:pPr>
      <w:r>
        <w:t xml:space="preserve">Tape: Activity 1, Activity 2</w:t>
      </w:r>
    </w:p>
    <w:bookmarkEnd w:id="33"/>
    <w:bookmarkStart w:id="34" w:name="materials-to-copy"/>
    <w:p>
      <w:pPr>
        <w:pStyle w:val="Heading3"/>
      </w:pPr>
      <w:r>
        <w:t xml:space="preserve">Materials to Copy</w:t>
      </w:r>
    </w:p>
    <w:p>
      <w:pPr>
        <w:numPr>
          <w:ilvl w:val="0"/>
          <w:numId w:val="1005"/>
        </w:numPr>
        <w:pStyle w:val="Compact"/>
      </w:pPr>
      <w:r>
        <w:t xml:space="preserve">How We Get to School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grade 1, students organized and represented data with up to three categories. How did you see or hear students demonstrate their understanding of different ways to organize data?</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Organize Data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2.MD.D.10</w:t>
            </w:r>
          </w:p>
        </w:tc>
      </w:tr>
    </w:tbl>
    <w:bookmarkEnd w:id="41"/>
    <w:bookmarkStart w:id="48" w:name="student-facing-task-statement"/>
    <w:p>
      <w:pPr>
        <w:pStyle w:val="Heading3"/>
      </w:pPr>
      <w:r>
        <w:t xml:space="preserve">Student-facing Task Statement</w:t>
      </w:r>
    </w:p>
    <w:p>
      <w:pPr>
        <w:pStyle w:val="FirstParagraph"/>
      </w:pPr>
      <w:r>
        <w:t xml:space="preserve">Mai and Priya showed how the students in their class traveled to school.</w:t>
      </w:r>
    </w:p>
    <w:p>
      <w:pPr>
        <w:pStyle w:val="BodyText"/>
      </w:pPr>
      <w:r>
        <w:drawing>
          <wp:inline>
            <wp:extent cx="2984449" cy="2984449"/>
            <wp:effectExtent b="0" l="0" r="0" t="0"/>
            <wp:docPr descr="Chart. Four sections labeled bus, train, car, walk. Bus, 5. train, 8. Car, 6. Walk, 3. " title="" id="43" name="Picture"/>
            <a:graphic>
              <a:graphicData uri="http://schemas.openxmlformats.org/drawingml/2006/picture">
                <pic:pic>
                  <pic:nvPicPr>
                    <pic:cNvPr descr="/app/tmp/embedder-1671011487.8409462.png" id="44" name="Picture"/>
                    <pic:cNvPicPr>
                      <a:picLocks noChangeArrowheads="1" noChangeAspect="1"/>
                    </pic:cNvPicPr>
                  </pic:nvPicPr>
                  <pic:blipFill>
                    <a:blip r:embed="rId42"/>
                    <a:stretch>
                      <a:fillRect/>
                    </a:stretch>
                  </pic:blipFill>
                  <pic:spPr bwMode="auto">
                    <a:xfrm>
                      <a:off x="0" y="0"/>
                      <a:ext cx="2984449" cy="2984449"/>
                    </a:xfrm>
                    <a:prstGeom prst="rect">
                      <a:avLst/>
                    </a:prstGeom>
                    <a:noFill/>
                    <a:ln w="9525">
                      <a:noFill/>
                      <a:headEnd/>
                      <a:tailEnd/>
                    </a:ln>
                  </pic:spPr>
                </pic:pic>
              </a:graphicData>
            </a:graphic>
          </wp:inline>
        </w:drawing>
      </w:r>
    </w:p>
    <w:p>
      <w:pPr>
        <w:pStyle w:val="BodyText"/>
      </w:pPr>
      <w:r>
        <w:t xml:space="preserve">Mai's way</w:t>
      </w:r>
    </w:p>
    <w:p>
      <w:pPr>
        <w:pStyle w:val="BodyText"/>
      </w:pPr>
      <w:r>
        <w:drawing>
          <wp:inline>
            <wp:extent cx="2984449" cy="2984449"/>
            <wp:effectExtent b="0" l="0" r="0" t="0"/>
            <wp:docPr descr="Square showing unorganized set of symbols for traveling to school by train, walking, school bus, and car. " title="" id="46" name="Picture"/>
            <a:graphic>
              <a:graphicData uri="http://schemas.openxmlformats.org/drawingml/2006/picture">
                <pic:pic>
                  <pic:nvPicPr>
                    <pic:cNvPr descr="/app/tmp/embedder-1671011487.928226.png" id="47" name="Picture"/>
                    <pic:cNvPicPr>
                      <a:picLocks noChangeArrowheads="1" noChangeAspect="1"/>
                    </pic:cNvPicPr>
                  </pic:nvPicPr>
                  <pic:blipFill>
                    <a:blip r:embed="rId45"/>
                    <a:stretch>
                      <a:fillRect/>
                    </a:stretch>
                  </pic:blipFill>
                  <pic:spPr bwMode="auto">
                    <a:xfrm>
                      <a:off x="0" y="0"/>
                      <a:ext cx="2984449" cy="2984449"/>
                    </a:xfrm>
                    <a:prstGeom prst="rect">
                      <a:avLst/>
                    </a:prstGeom>
                    <a:noFill/>
                    <a:ln w="9525">
                      <a:noFill/>
                      <a:headEnd/>
                      <a:tailEnd/>
                    </a:ln>
                  </pic:spPr>
                </pic:pic>
              </a:graphicData>
            </a:graphic>
          </wp:inline>
        </w:drawing>
      </w:r>
    </w:p>
    <w:p>
      <w:pPr>
        <w:pStyle w:val="BodyText"/>
      </w:pPr>
      <w:r>
        <w:t xml:space="preserve">Priya's way</w:t>
      </w:r>
    </w:p>
    <w:p>
      <w:pPr>
        <w:pStyle w:val="BodyText"/>
      </w:pPr>
      <w:r>
        <w:t xml:space="preserve">How are Mai's way and Priya's way the same? How are they different?</w:t>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They both use pictures. Mai grouped the pictures together.</w:t>
      </w:r>
    </w:p>
    <w:p>
      <w:pPr>
        <w:numPr>
          <w:ilvl w:val="0"/>
          <w:numId w:val="1006"/>
        </w:numPr>
        <w:pStyle w:val="Compact"/>
      </w:pPr>
      <w:r>
        <w:t xml:space="preserve">They both have the same number of pictures. Mai used words and grouped the pictures together.</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2022-12-14T09:51:28Z</dcterms:created>
  <dcterms:modified xsi:type="dcterms:W3CDTF">2022-12-14T09:51:28Z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SSl3UmTTGmjc0P3+eLHGYDQAH/g/WYWTh6kHPujQnH9tLTILCFviNRk0XuAp1eoIDehmfivT2IgCI+JOnN+fIg==</vt:lpwstr>
  </property>
</Properties>
</file>