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diez-veces"/>
    <w:p>
      <w:pPr>
        <w:pStyle w:val="Heading2"/>
      </w:pPr>
      <w:r>
        <w:t xml:space="preserve">Lección 6: Diez veces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 “10 veces una cantidad”.</w:t>
      </w:r>
    </w:p>
    <w:bookmarkStart w:id="24" w:name="diez-veces"/>
    <w:p>
      <w:pPr>
        <w:pStyle w:val="Heading3"/>
      </w:pPr>
      <w:r>
        <w:t xml:space="preserve">6.1: Diez veces</w:t>
      </w:r>
    </w:p>
    <w:p>
      <w:pPr>
        <w:pStyle w:val="FirstParagraph"/>
      </w:pPr>
      <w:r>
        <w:t xml:space="preserve">Este es un diagrama que representa dos cantidades, A y B.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two rectangles. bottom rectangle, B. partitioned into 10 equal parts. Top rectangle, A. Same size as one of the 10 parts of the bottom rectangle." title="" id="22" name="Picture"/>
            <a:graphic>
              <a:graphicData uri="http://schemas.openxmlformats.org/drawingml/2006/picture">
                <pic:pic>
                  <pic:nvPicPr>
                    <pic:cNvPr descr="/app/tmp/embedder-1671063987.59842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¿Cuáles son algunos valores posibles de A y B?</w:t>
      </w:r>
    </w:p>
    <w:p>
      <w:pPr>
        <w:numPr>
          <w:ilvl w:val="0"/>
          <w:numId w:val="1002"/>
        </w:numPr>
      </w:pPr>
      <w:r>
        <w:t xml:space="preserve">Selecciona las ecuaciones que pueden ser representadas por el diagrama.</w:t>
      </w:r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15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150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16</m:t>
        </m:r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600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30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80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800</m:t>
        </m:r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r>
          <m:t>12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</m:oMath>
    </w:p>
    <w:p>
      <w:pPr>
        <w:numPr>
          <w:ilvl w:val="0"/>
          <w:numId w:val="1002"/>
        </w:numPr>
      </w:pPr>
      <w:r>
        <w:t xml:space="preserve">En el caso de las ecuaciones que no pueden ser representadas por el diagrama:</w:t>
      </w:r>
    </w:p>
    <w:p>
      <w:pPr>
        <w:numPr>
          <w:ilvl w:val="1"/>
          <w:numId w:val="1004"/>
        </w:numPr>
        <w:pStyle w:val="Compact"/>
      </w:pPr>
      <w:r>
        <w:t xml:space="preserve">Explica por qué el diagrama no representa estas ecuaciones.</w:t>
      </w:r>
    </w:p>
    <w:p>
      <w:pPr>
        <w:numPr>
          <w:ilvl w:val="1"/>
          <w:numId w:val="1004"/>
        </w:numPr>
        <w:pStyle w:val="Compact"/>
      </w:pPr>
      <w:r>
        <w:t xml:space="preserve">¿Cómo cambiarías las ecuaciones para que pudieran ser representadas por el diagrama?</w:t>
      </w:r>
    </w:p>
    <w:p>
      <w:pPr>
        <w:numPr>
          <w:ilvl w:val="1"/>
          <w:numId w:val="1004"/>
        </w:numPr>
        <w:pStyle w:val="Compact"/>
      </w:pPr>
      <w:r>
        <w:t xml:space="preserve">Compara tus ecuaciones con las de tu compañero. Haz al menos dos observaciones sobre las ecuaciones que tú y tu compañero escribieron.</w:t>
      </w:r>
    </w:p>
    <w:bookmarkEnd w:id="24"/>
    <w:bookmarkStart w:id="28" w:name="qué-sigue-siendo-lo-mismo"/>
    <w:p>
      <w:pPr>
        <w:pStyle w:val="Heading3"/>
      </w:pPr>
      <w:r>
        <w:t xml:space="preserve">6.2: ¿Qué sigue siendo lo mismo?</w:t>
      </w:r>
    </w:p>
    <w:p>
      <w:pPr>
        <w:numPr>
          <w:ilvl w:val="0"/>
          <w:numId w:val="1005"/>
        </w:numPr>
      </w:pPr>
      <w:r>
        <w:t xml:space="preserve">Usa el diagrama para completar la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two rectangles. bottom rectangle, B. partitioned into 10 equal parts. Top rectangle, A. Same size as one of 10 parts of bottom rectangle." title="" id="26" name="Picture"/>
            <a:graphic>
              <a:graphicData uri="http://schemas.openxmlformats.org/drawingml/2006/picture">
                <pic:pic>
                  <pic:nvPicPr>
                    <pic:cNvPr descr="/app/tmp/embedder-1671063987.66038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valor de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valor de B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2,070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3,900</w:t>
            </w:r>
          </w:p>
        </w:tc>
      </w:tr>
    </w:tbl>
    <w:p>
      <w:pPr>
        <w:numPr>
          <w:ilvl w:val="0"/>
          <w:numId w:val="1005"/>
        </w:numPr>
      </w:pPr>
      <w:r>
        <w:t xml:space="preserve">Selecciona algunos valores de tu tabla para explicar o mostrar:</w:t>
      </w:r>
    </w:p>
    <w:p>
      <w:pPr>
        <w:numPr>
          <w:ilvl w:val="1"/>
          <w:numId w:val="1006"/>
        </w:numPr>
      </w:pPr>
      <w:r>
        <w:t xml:space="preserve">Cómo encontraste el valor de B cuando el valor de A era conocido.</w:t>
      </w:r>
    </w:p>
    <w:p>
      <w:pPr>
        <w:numPr>
          <w:ilvl w:val="1"/>
          <w:numId w:val="1006"/>
        </w:numPr>
        <w:pStyle w:val="Compact"/>
      </w:pPr>
      <w:r>
        <w:t xml:space="preserve">Cómo encontraste el valor de A cuando el valor de B era conocido.</w:t>
      </w:r>
    </w:p>
    <w:bookmarkEnd w:id="28"/>
    <w:bookmarkStart w:id="4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a usar la multiplicación y la frase “_____ veces” para comparar dos cantidades.</w:t>
      </w:r>
    </w:p>
    <w:p>
      <w:pPr>
        <w:pStyle w:val="BodyText"/>
      </w:pPr>
      <w:r>
        <w:t xml:space="preserve">Primero, usamos cubos y dibujos para representar las cantidades. Por ejemplo: Andre tiene 3 cubos y Han tiene 12. Comparamos el número de cubos así:</w:t>
      </w:r>
    </w:p>
    <w:p>
      <w:pPr>
        <w:numPr>
          <w:ilvl w:val="0"/>
          <w:numId w:val="1007"/>
        </w:numPr>
        <w:pStyle w:val="Compact"/>
      </w:pPr>
      <w:r>
        <w:t xml:space="preserve">Dijimos: “Han tiene 4 veces la cantidad de cubos que Andre tiene”.</w:t>
      </w:r>
    </w:p>
    <w:p>
      <w:pPr>
        <w:numPr>
          <w:ilvl w:val="0"/>
          <w:numId w:val="1007"/>
        </w:numPr>
        <w:pStyle w:val="Compact"/>
      </w:pPr>
      <w:r>
        <w:t xml:space="preserve">Dibujamos diagramas que muestran 3 cubos para Andre y 4 veces esa cantidad para Han.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Andre, blue, 3. Han, blue, 3. yellow, 3. red, 3. white, 3." title="" id="30" name="Picture"/>
            <a:graphic>
              <a:graphicData uri="http://schemas.openxmlformats.org/drawingml/2006/picture">
                <pic:pic>
                  <pic:nvPicPr>
                    <pic:cNvPr descr="/app/tmp/embedder-1671063987.720031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Andre, blue, 3. Han, blue, 3. yellow, 3. blue, 3. yellow, 3." title="" id="33" name="Picture"/>
            <a:graphic>
              <a:graphicData uri="http://schemas.openxmlformats.org/drawingml/2006/picture">
                <pic:pic>
                  <pic:nvPicPr>
                    <pic:cNvPr descr="/app/tmp/embedder-1671063987.898607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Escribimos la ecuación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=</m:t>
        </m:r>
        <m:r>
          <m:t>12</m:t>
        </m:r>
      </m:oMath>
      <w:r>
        <w:t xml:space="preserve">.</w:t>
      </w:r>
    </w:p>
    <w:p>
      <w:pPr>
        <w:pStyle w:val="FirstParagraph"/>
      </w:pPr>
      <w:r>
        <w:t xml:space="preserve">A medida que los números se hacían más grandes, dibujar todas las unidades de cada cantidad era menos práctico, así que usamos diagramas más sencillos y con números para representar el tamaño de las cantidades.</w:t>
      </w:r>
    </w:p>
    <w:p>
      <w:pPr>
        <w:pStyle w:val="BodyText"/>
      </w:pPr>
      <w:r>
        <w:t xml:space="preserve">Si Andre tiene 30 cubos y Han tiene 4 veces esa cantidad, podemos representar la comparación con un diagrama como este:</w:t>
      </w:r>
    </w:p>
    <w:p>
      <w:pPr>
        <w:pStyle w:val="BodyText"/>
      </w:pPr>
      <w:r>
        <w:drawing>
          <wp:inline>
            <wp:extent cx="3520440" cy="960122"/>
            <wp:effectExtent b="0" l="0" r="0" t="0"/>
            <wp:docPr descr="diagram. two rectangles." title="" id="36" name="Picture"/>
            <a:graphic>
              <a:graphicData uri="http://schemas.openxmlformats.org/drawingml/2006/picture">
                <pic:pic>
                  <pic:nvPicPr>
                    <pic:cNvPr descr="/app/tmp/embedder-1671063987.987807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 final, comparamos cantidades en las que una cantidad es diez veces la otra. También recordamos algunos patrones numéricos cuando multiplicamos un número por 10.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2022-12-15T00:26:28Z</dcterms:created>
  <dcterms:modified xsi:type="dcterms:W3CDTF">2022-12-15T00:26:28Z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CpEKG70XO/LR0DIourKwSu2Zkkk4aM02Jc+1ZeCClgQulU9C0Z/DrxQ0kTbr1pwi1HHrzyzikC2gRVAVlI2VWQ==</vt:lpwstr>
  </property>
</Properties>
</file>