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how-well-can-you-measure"/>
    <w:p>
      <w:pPr>
        <w:pStyle w:val="Heading2"/>
      </w:pPr>
      <w:r>
        <w:t xml:space="preserve">Lesson 1: How Well Can You Measure?</w:t>
      </w:r>
    </w:p>
    <w:bookmarkEnd w:id="20"/>
    <w:p>
      <w:pPr>
        <w:pStyle w:val="FirstParagraph"/>
      </w:pPr>
      <w:r>
        <w:t xml:space="preserve">Let’s see how accurately we can measure.</w:t>
      </w:r>
    </w:p>
    <w:bookmarkStart w:id="21" w:name="estimating-a-percentage"/>
    <w:p>
      <w:pPr>
        <w:pStyle w:val="Heading3"/>
      </w:pPr>
      <w:r>
        <w:t xml:space="preserve">1.1: Estimating a Percentage</w:t>
      </w:r>
    </w:p>
    <w:p>
      <w:pPr>
        <w:pStyle w:val="FirstParagraph"/>
      </w:pPr>
      <w:r>
        <w:t xml:space="preserve">A student got 16 out of 21 questions correct on a quiz. Use mental estimation to answer these questions.</w:t>
      </w:r>
    </w:p>
    <w:p>
      <w:pPr>
        <w:numPr>
          <w:ilvl w:val="0"/>
          <w:numId w:val="1001"/>
        </w:numPr>
        <w:pStyle w:val="Compact"/>
      </w:pPr>
      <w:r>
        <w:t xml:space="preserve">Did the student answer less than or more than 80% of the questions correctly?</w:t>
      </w:r>
    </w:p>
    <w:p>
      <w:pPr>
        <w:numPr>
          <w:ilvl w:val="0"/>
          <w:numId w:val="1001"/>
        </w:numPr>
        <w:pStyle w:val="Compact"/>
      </w:pPr>
      <w:r>
        <w:t xml:space="preserve">Did the student answer less than or more than 75% of the questions correctly?</w:t>
      </w:r>
    </w:p>
    <w:bookmarkEnd w:id="21"/>
    <w:bookmarkStart w:id="25" w:name="perimeter-of-a-square"/>
    <w:p>
      <w:pPr>
        <w:pStyle w:val="Heading3"/>
      </w:pPr>
      <w:r>
        <w:t xml:space="preserve">1.2: Perimeter of a Square</w:t>
      </w:r>
    </w:p>
    <w:p>
      <w:pPr>
        <w:pStyle w:val="FirstParagraph"/>
      </w:pPr>
      <w:r>
        <w:t xml:space="preserve">Your teacher will give you a picture of 9 different squares and will assign your group 3 of these squares to examine more closely.</w:t>
      </w:r>
    </w:p>
    <w:p>
      <w:pPr>
        <w:numPr>
          <w:ilvl w:val="0"/>
          <w:numId w:val="1002"/>
        </w:numPr>
      </w:pPr>
      <w:r>
        <w:t xml:space="preserve">For each of your assigned squares, measure the length of the diagonal and the perimeter of the square in centimeters.</w:t>
      </w:r>
    </w:p>
    <w:p>
      <w:pPr>
        <w:numPr>
          <w:ilvl w:val="0"/>
          <w:numId w:val="1000"/>
        </w:numPr>
      </w:pPr>
      <w:r>
        <w:t xml:space="preserve">Check your measurements with your group. After you come to an agreement,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diagonal (cm)</w:t>
            </w:r>
          </w:p>
        </w:tc>
        <w:tc>
          <w:tcPr/>
          <w:p>
            <w:pPr>
              <w:numPr>
                <w:ilvl w:val="0"/>
                <w:numId w:val="1000"/>
              </w:numPr>
              <w:pStyle w:val="Compact"/>
              <w:jc w:val="left"/>
            </w:pPr>
            <w:r>
              <w:t xml:space="preserve">perimeter (cm)</w:t>
            </w:r>
          </w:p>
        </w:tc>
      </w:tr>
      <w:tr>
        <w:tc>
          <w:tcPr/>
          <w:p>
            <w:pPr>
              <w:numPr>
                <w:ilvl w:val="0"/>
                <w:numId w:val="1000"/>
              </w:numPr>
              <w:pStyle w:val="Compact"/>
              <w:jc w:val="left"/>
            </w:pPr>
            <w:r>
              <w:t xml:space="preserve">square A</w:t>
            </w:r>
          </w:p>
        </w:tc>
        <w:tc>
          <w:tcPr/>
          <w:p>
            <w:pPr>
              <w:pStyle w:val="Compact"/>
            </w:pPr>
          </w:p>
        </w:tc>
        <w:tc>
          <w:tcPr/>
          <w:p>
            <w:pPr>
              <w:pStyle w:val="Compact"/>
            </w:pPr>
          </w:p>
        </w:tc>
      </w:tr>
      <w:tr>
        <w:tc>
          <w:tcPr/>
          <w:p>
            <w:pPr>
              <w:numPr>
                <w:ilvl w:val="0"/>
                <w:numId w:val="1000"/>
              </w:numPr>
              <w:pStyle w:val="Compact"/>
              <w:jc w:val="left"/>
            </w:pPr>
            <w:r>
              <w:t xml:space="preserve">square B</w:t>
            </w:r>
          </w:p>
        </w:tc>
        <w:tc>
          <w:tcPr/>
          <w:p>
            <w:pPr>
              <w:pStyle w:val="Compact"/>
            </w:pPr>
          </w:p>
        </w:tc>
        <w:tc>
          <w:tcPr/>
          <w:p>
            <w:pPr>
              <w:pStyle w:val="Compact"/>
            </w:pPr>
          </w:p>
        </w:tc>
      </w:tr>
      <w:tr>
        <w:tc>
          <w:tcPr/>
          <w:p>
            <w:pPr>
              <w:numPr>
                <w:ilvl w:val="0"/>
                <w:numId w:val="1000"/>
              </w:numPr>
              <w:pStyle w:val="Compact"/>
              <w:jc w:val="left"/>
            </w:pPr>
            <w:r>
              <w:t xml:space="preserve">square C</w:t>
            </w:r>
          </w:p>
        </w:tc>
        <w:tc>
          <w:tcPr/>
          <w:p>
            <w:pPr>
              <w:pStyle w:val="Compact"/>
            </w:pPr>
          </w:p>
        </w:tc>
        <w:tc>
          <w:tcPr/>
          <w:p>
            <w:pPr>
              <w:pStyle w:val="Compact"/>
            </w:pPr>
          </w:p>
        </w:tc>
      </w:tr>
      <w:tr>
        <w:tc>
          <w:tcPr/>
          <w:p>
            <w:pPr>
              <w:numPr>
                <w:ilvl w:val="0"/>
                <w:numId w:val="1000"/>
              </w:numPr>
              <w:pStyle w:val="Compact"/>
              <w:jc w:val="left"/>
            </w:pPr>
            <w:r>
              <w:t xml:space="preserve">square D</w:t>
            </w:r>
          </w:p>
        </w:tc>
        <w:tc>
          <w:tcPr/>
          <w:p>
            <w:pPr>
              <w:pStyle w:val="Compact"/>
            </w:pPr>
          </w:p>
        </w:tc>
        <w:tc>
          <w:tcPr/>
          <w:p>
            <w:pPr>
              <w:pStyle w:val="Compact"/>
            </w:pPr>
          </w:p>
        </w:tc>
      </w:tr>
      <w:tr>
        <w:tc>
          <w:tcPr/>
          <w:p>
            <w:pPr>
              <w:numPr>
                <w:ilvl w:val="0"/>
                <w:numId w:val="1000"/>
              </w:numPr>
              <w:pStyle w:val="Compact"/>
              <w:jc w:val="left"/>
            </w:pPr>
            <w:r>
              <w:t xml:space="preserve">square E</w:t>
            </w:r>
          </w:p>
        </w:tc>
        <w:tc>
          <w:tcPr/>
          <w:p>
            <w:pPr>
              <w:pStyle w:val="Compact"/>
            </w:pPr>
          </w:p>
        </w:tc>
        <w:tc>
          <w:tcPr/>
          <w:p>
            <w:pPr>
              <w:pStyle w:val="Compact"/>
            </w:pPr>
          </w:p>
        </w:tc>
      </w:tr>
      <w:tr>
        <w:tc>
          <w:tcPr/>
          <w:p>
            <w:pPr>
              <w:numPr>
                <w:ilvl w:val="0"/>
                <w:numId w:val="1000"/>
              </w:numPr>
              <w:pStyle w:val="Compact"/>
              <w:jc w:val="left"/>
            </w:pPr>
            <w:r>
              <w:t xml:space="preserve">square F</w:t>
            </w:r>
          </w:p>
        </w:tc>
        <w:tc>
          <w:tcPr/>
          <w:p>
            <w:pPr>
              <w:pStyle w:val="Compact"/>
            </w:pPr>
          </w:p>
        </w:tc>
        <w:tc>
          <w:tcPr/>
          <w:p>
            <w:pPr>
              <w:pStyle w:val="Compact"/>
            </w:pPr>
          </w:p>
        </w:tc>
      </w:tr>
      <w:tr>
        <w:tc>
          <w:tcPr/>
          <w:p>
            <w:pPr>
              <w:numPr>
                <w:ilvl w:val="0"/>
                <w:numId w:val="1000"/>
              </w:numPr>
              <w:pStyle w:val="Compact"/>
              <w:jc w:val="left"/>
            </w:pPr>
            <w:r>
              <w:t xml:space="preserve">square G</w:t>
            </w:r>
          </w:p>
        </w:tc>
        <w:tc>
          <w:tcPr/>
          <w:p>
            <w:pPr>
              <w:pStyle w:val="Compact"/>
            </w:pPr>
          </w:p>
        </w:tc>
        <w:tc>
          <w:tcPr/>
          <w:p>
            <w:pPr>
              <w:pStyle w:val="Compact"/>
            </w:pPr>
          </w:p>
        </w:tc>
      </w:tr>
      <w:tr>
        <w:tc>
          <w:tcPr/>
          <w:p>
            <w:pPr>
              <w:numPr>
                <w:ilvl w:val="0"/>
                <w:numId w:val="1000"/>
              </w:numPr>
              <w:pStyle w:val="Compact"/>
              <w:jc w:val="left"/>
            </w:pPr>
            <w:r>
              <w:t xml:space="preserve">square H</w:t>
            </w:r>
          </w:p>
        </w:tc>
        <w:tc>
          <w:tcPr/>
          <w:p>
            <w:pPr>
              <w:pStyle w:val="Compact"/>
            </w:pPr>
          </w:p>
        </w:tc>
        <w:tc>
          <w:tcPr/>
          <w:p>
            <w:pPr>
              <w:pStyle w:val="Compact"/>
            </w:pPr>
          </w:p>
        </w:tc>
      </w:tr>
      <w:tr>
        <w:tc>
          <w:tcPr/>
          <w:p>
            <w:pPr>
              <w:numPr>
                <w:ilvl w:val="0"/>
                <w:numId w:val="1000"/>
              </w:numPr>
              <w:pStyle w:val="Compact"/>
              <w:jc w:val="left"/>
            </w:pPr>
            <w:r>
              <w:t xml:space="preserve">square I</w:t>
            </w:r>
          </w:p>
        </w:tc>
        <w:tc>
          <w:tcPr/>
          <w:p>
            <w:pPr>
              <w:pStyle w:val="Compact"/>
            </w:pPr>
          </w:p>
        </w:tc>
        <w:tc>
          <w:tcPr/>
          <w:p>
            <w:pPr>
              <w:pStyle w:val="Compact"/>
            </w:pPr>
          </w:p>
        </w:tc>
      </w:tr>
    </w:tbl>
    <w:p>
      <w:pPr>
        <w:numPr>
          <w:ilvl w:val="0"/>
          <w:numId w:val="1002"/>
        </w:numPr>
      </w:pPr>
      <w:r>
        <w:t xml:space="preserve">Plot the diagonal and perimeter values from the table on the coordinate plane.</w:t>
      </w:r>
    </w:p>
    <w:p>
      <w:pPr>
        <w:numPr>
          <w:ilvl w:val="0"/>
          <w:numId w:val="1000"/>
        </w:numPr>
        <w:pStyle w:val="Compact"/>
      </w:pPr>
      <w:r>
        <w:drawing>
          <wp:inline>
            <wp:extent cx="3125474" cy="3669832"/>
            <wp:effectExtent b="0" l="0" r="0" t="0"/>
            <wp:docPr descr="Blank grid. Horizontal axis labeled diagonal in cm, scale 0 to 15, by 5's. Vertical axis labeled perimeter in cm, scale 0 to 40, by 5's." title="" id="23" name="Picture"/>
            <a:graphic>
              <a:graphicData uri="http://schemas.openxmlformats.org/drawingml/2006/picture">
                <pic:pic>
                  <pic:nvPicPr>
                    <pic:cNvPr descr="/app/tmp/embedder-1671038211.941615.png" id="24" name="Picture"/>
                    <pic:cNvPicPr>
                      <a:picLocks noChangeArrowheads="1" noChangeAspect="1"/>
                    </pic:cNvPicPr>
                  </pic:nvPicPr>
                  <pic:blipFill>
                    <a:blip r:embed="rId22"/>
                    <a:stretch>
                      <a:fillRect/>
                    </a:stretch>
                  </pic:blipFill>
                  <pic:spPr bwMode="auto">
                    <a:xfrm>
                      <a:off x="0" y="0"/>
                      <a:ext cx="3125474" cy="3669832"/>
                    </a:xfrm>
                    <a:prstGeom prst="rect">
                      <a:avLst/>
                    </a:prstGeom>
                    <a:noFill/>
                    <a:ln w="9525">
                      <a:noFill/>
                      <a:headEnd/>
                      <a:tailEnd/>
                    </a:ln>
                  </pic:spPr>
                </pic:pic>
              </a:graphicData>
            </a:graphic>
          </wp:inline>
        </w:drawing>
      </w:r>
    </w:p>
    <w:p>
      <w:pPr>
        <w:numPr>
          <w:ilvl w:val="0"/>
          <w:numId w:val="1002"/>
        </w:numPr>
      </w:pPr>
      <w:r>
        <w:t xml:space="preserve">What do you notice about the points on the graph?</w:t>
      </w:r>
    </w:p>
    <w:p>
      <w:pPr>
        <w:numPr>
          <w:ilvl w:val="0"/>
          <w:numId w:val="1000"/>
        </w:numPr>
      </w:pPr>
      <w:r>
        <w:t xml:space="preserve">Pause here so your teacher can review your work.</w:t>
      </w:r>
    </w:p>
    <w:p>
      <w:pPr>
        <w:numPr>
          <w:ilvl w:val="0"/>
          <w:numId w:val="1002"/>
        </w:numPr>
        <w:pStyle w:val="Compact"/>
      </w:pPr>
      <w:r>
        <w:t xml:space="preserve">Record measurements of the other squares to complete your table.</w:t>
      </w:r>
    </w:p>
    <w:bookmarkEnd w:id="25"/>
    <w:bookmarkStart w:id="30" w:name="area-of-a-square"/>
    <w:p>
      <w:pPr>
        <w:pStyle w:val="Heading3"/>
      </w:pPr>
      <w:r>
        <w:t xml:space="preserve">1.3: Area of a Square</w:t>
      </w:r>
    </w:p>
    <w:p>
      <w:pPr>
        <w:numPr>
          <w:ilvl w:val="0"/>
          <w:numId w:val="1003"/>
        </w:numPr>
        <w:pStyle w:val="Compact"/>
      </w:pPr>
      <w:r>
        <w:t xml:space="preserve">In the table, record the length of the diagonal for each of your assigned squares from the previous activity. Next, calculate the area of each of your squares.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diagonal (cm)</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square A</w:t>
            </w:r>
          </w:p>
        </w:tc>
        <w:tc>
          <w:tcPr/>
          <w:p>
            <w:pPr>
              <w:pStyle w:val="Compact"/>
            </w:pPr>
          </w:p>
        </w:tc>
        <w:tc>
          <w:tcPr/>
          <w:p>
            <w:pPr>
              <w:pStyle w:val="Compact"/>
            </w:pPr>
          </w:p>
        </w:tc>
      </w:tr>
      <w:tr>
        <w:tc>
          <w:tcPr/>
          <w:p>
            <w:pPr>
              <w:numPr>
                <w:ilvl w:val="0"/>
                <w:numId w:val="1000"/>
              </w:numPr>
              <w:pStyle w:val="Compact"/>
              <w:jc w:val="left"/>
            </w:pPr>
            <w:r>
              <w:t xml:space="preserve">square B</w:t>
            </w:r>
          </w:p>
        </w:tc>
        <w:tc>
          <w:tcPr/>
          <w:p>
            <w:pPr>
              <w:pStyle w:val="Compact"/>
            </w:pPr>
          </w:p>
        </w:tc>
        <w:tc>
          <w:tcPr/>
          <w:p>
            <w:pPr>
              <w:pStyle w:val="Compact"/>
            </w:pPr>
          </w:p>
        </w:tc>
      </w:tr>
      <w:tr>
        <w:tc>
          <w:tcPr/>
          <w:p>
            <w:pPr>
              <w:numPr>
                <w:ilvl w:val="0"/>
                <w:numId w:val="1000"/>
              </w:numPr>
              <w:pStyle w:val="Compact"/>
              <w:jc w:val="left"/>
            </w:pPr>
            <w:r>
              <w:t xml:space="preserve">square C</w:t>
            </w:r>
          </w:p>
        </w:tc>
        <w:tc>
          <w:tcPr/>
          <w:p>
            <w:pPr>
              <w:pStyle w:val="Compact"/>
            </w:pPr>
          </w:p>
        </w:tc>
        <w:tc>
          <w:tcPr/>
          <w:p>
            <w:pPr>
              <w:pStyle w:val="Compact"/>
            </w:pPr>
          </w:p>
        </w:tc>
      </w:tr>
      <w:tr>
        <w:tc>
          <w:tcPr/>
          <w:p>
            <w:pPr>
              <w:numPr>
                <w:ilvl w:val="0"/>
                <w:numId w:val="1000"/>
              </w:numPr>
              <w:pStyle w:val="Compact"/>
              <w:jc w:val="left"/>
            </w:pPr>
            <w:r>
              <w:t xml:space="preserve">square D</w:t>
            </w:r>
          </w:p>
        </w:tc>
        <w:tc>
          <w:tcPr/>
          <w:p>
            <w:pPr>
              <w:pStyle w:val="Compact"/>
            </w:pPr>
          </w:p>
        </w:tc>
        <w:tc>
          <w:tcPr/>
          <w:p>
            <w:pPr>
              <w:pStyle w:val="Compact"/>
            </w:pPr>
          </w:p>
        </w:tc>
      </w:tr>
      <w:tr>
        <w:tc>
          <w:tcPr/>
          <w:p>
            <w:pPr>
              <w:numPr>
                <w:ilvl w:val="0"/>
                <w:numId w:val="1000"/>
              </w:numPr>
              <w:pStyle w:val="Compact"/>
              <w:jc w:val="left"/>
            </w:pPr>
            <w:r>
              <w:t xml:space="preserve">square E</w:t>
            </w:r>
          </w:p>
        </w:tc>
        <w:tc>
          <w:tcPr/>
          <w:p>
            <w:pPr>
              <w:pStyle w:val="Compact"/>
            </w:pPr>
          </w:p>
        </w:tc>
        <w:tc>
          <w:tcPr/>
          <w:p>
            <w:pPr>
              <w:pStyle w:val="Compact"/>
            </w:pPr>
          </w:p>
        </w:tc>
      </w:tr>
      <w:tr>
        <w:tc>
          <w:tcPr/>
          <w:p>
            <w:pPr>
              <w:numPr>
                <w:ilvl w:val="0"/>
                <w:numId w:val="1000"/>
              </w:numPr>
              <w:pStyle w:val="Compact"/>
              <w:jc w:val="left"/>
            </w:pPr>
            <w:r>
              <w:t xml:space="preserve">square F</w:t>
            </w:r>
          </w:p>
        </w:tc>
        <w:tc>
          <w:tcPr/>
          <w:p>
            <w:pPr>
              <w:pStyle w:val="Compact"/>
            </w:pPr>
          </w:p>
        </w:tc>
        <w:tc>
          <w:tcPr/>
          <w:p>
            <w:pPr>
              <w:pStyle w:val="Compact"/>
            </w:pPr>
          </w:p>
        </w:tc>
      </w:tr>
      <w:tr>
        <w:tc>
          <w:tcPr/>
          <w:p>
            <w:pPr>
              <w:numPr>
                <w:ilvl w:val="0"/>
                <w:numId w:val="1000"/>
              </w:numPr>
              <w:pStyle w:val="Compact"/>
              <w:jc w:val="left"/>
            </w:pPr>
            <w:r>
              <w:t xml:space="preserve">square G</w:t>
            </w:r>
          </w:p>
        </w:tc>
        <w:tc>
          <w:tcPr/>
          <w:p>
            <w:pPr>
              <w:pStyle w:val="Compact"/>
            </w:pPr>
          </w:p>
        </w:tc>
        <w:tc>
          <w:tcPr/>
          <w:p>
            <w:pPr>
              <w:pStyle w:val="Compact"/>
            </w:pPr>
          </w:p>
        </w:tc>
      </w:tr>
      <w:tr>
        <w:tc>
          <w:tcPr/>
          <w:p>
            <w:pPr>
              <w:numPr>
                <w:ilvl w:val="0"/>
                <w:numId w:val="1000"/>
              </w:numPr>
              <w:pStyle w:val="Compact"/>
              <w:jc w:val="left"/>
            </w:pPr>
            <w:r>
              <w:t xml:space="preserve">square H</w:t>
            </w:r>
          </w:p>
        </w:tc>
        <w:tc>
          <w:tcPr/>
          <w:p>
            <w:pPr>
              <w:pStyle w:val="Compact"/>
            </w:pPr>
          </w:p>
        </w:tc>
        <w:tc>
          <w:tcPr/>
          <w:p>
            <w:pPr>
              <w:pStyle w:val="Compact"/>
            </w:pPr>
          </w:p>
        </w:tc>
      </w:tr>
      <w:tr>
        <w:tc>
          <w:tcPr/>
          <w:p>
            <w:pPr>
              <w:numPr>
                <w:ilvl w:val="0"/>
                <w:numId w:val="1000"/>
              </w:numPr>
              <w:pStyle w:val="Compact"/>
              <w:jc w:val="left"/>
            </w:pPr>
            <w:r>
              <w:t xml:space="preserve">square I</w:t>
            </w:r>
          </w:p>
        </w:tc>
        <w:tc>
          <w:tcPr/>
          <w:p>
            <w:pPr>
              <w:pStyle w:val="Compact"/>
            </w:pPr>
          </w:p>
        </w:tc>
        <w:tc>
          <w:tcPr/>
          <w:p>
            <w:pPr>
              <w:pStyle w:val="Compact"/>
            </w:pPr>
          </w:p>
        </w:tc>
      </w:tr>
    </w:tbl>
    <w:p>
      <w:pPr>
        <w:numPr>
          <w:ilvl w:val="0"/>
          <w:numId w:val="1000"/>
        </w:numPr>
        <w:pStyle w:val="Compact"/>
      </w:pPr>
      <w:r>
        <w:t xml:space="preserve">Pause here so your teacher can review your work. Be prepared to share your values with the class.</w:t>
      </w:r>
    </w:p>
    <w:p>
      <w:pPr>
        <w:numPr>
          <w:ilvl w:val="0"/>
          <w:numId w:val="1003"/>
        </w:numPr>
        <w:pStyle w:val="Compact"/>
      </w:pPr>
      <w:r>
        <w:t xml:space="preserve">Examine the class graph of these values. What do you notice? </w:t>
      </w:r>
    </w:p>
    <w:p>
      <w:pPr>
        <w:numPr>
          <w:ilvl w:val="0"/>
          <w:numId w:val="1003"/>
        </w:numPr>
        <w:pStyle w:val="Compact"/>
      </w:pPr>
      <w:r>
        <w:t xml:space="preserve">How is the relationship between the diagonal and area of a square the same as the relationship between the diagonal and perimeter of a square from the previous activity? How is it different?</w:t>
      </w:r>
    </w:p>
    <w:bookmarkStart w:id="29" w:name="are-you-ready-for-more"/>
    <w:p>
      <w:pPr>
        <w:pStyle w:val="Heading4"/>
      </w:pPr>
      <w:r>
        <w:t xml:space="preserve">Are you ready for more?</w:t>
      </w:r>
    </w:p>
    <w:p>
      <w:pPr>
        <w:pStyle w:val="FirstParagraph"/>
      </w:pPr>
      <w:r>
        <w:t xml:space="preserve">Here is a rough map of a neighborhood.</w:t>
      </w:r>
    </w:p>
    <w:p>
      <w:pPr>
        <w:pStyle w:val="BodyText"/>
      </w:pPr>
      <w:r>
        <w:drawing>
          <wp:inline>
            <wp:extent cx="1217161" cy="2100979"/>
            <wp:effectExtent b="0" l="0" r="0" t="0"/>
            <wp:docPr descr="Composite shape made of squares and rectangles. Small rectangle on left bottom, ABGH. Top rectangle, CDEB. Bottom square, BEFG." title="" id="27" name="Picture"/>
            <a:graphic>
              <a:graphicData uri="http://schemas.openxmlformats.org/drawingml/2006/picture">
                <pic:pic>
                  <pic:nvPicPr>
                    <pic:cNvPr descr="/app/tmp/embedder-1671038211.9789686.png" id="28" name="Picture"/>
                    <pic:cNvPicPr>
                      <a:picLocks noChangeArrowheads="1" noChangeAspect="1"/>
                    </pic:cNvPicPr>
                  </pic:nvPicPr>
                  <pic:blipFill>
                    <a:blip r:embed="rId26"/>
                    <a:stretch>
                      <a:fillRect/>
                    </a:stretch>
                  </pic:blipFill>
                  <pic:spPr bwMode="auto">
                    <a:xfrm>
                      <a:off x="0" y="0"/>
                      <a:ext cx="1217161" cy="2100979"/>
                    </a:xfrm>
                    <a:prstGeom prst="rect">
                      <a:avLst/>
                    </a:prstGeom>
                    <a:noFill/>
                    <a:ln w="9525">
                      <a:noFill/>
                      <a:headEnd/>
                      <a:tailEnd/>
                    </a:ln>
                  </pic:spPr>
                </pic:pic>
              </a:graphicData>
            </a:graphic>
          </wp:inline>
        </w:drawing>
      </w:r>
    </w:p>
    <w:p>
      <w:pPr>
        <w:pStyle w:val="BodyText"/>
      </w:pPr>
      <w:r>
        <w:t xml:space="preserve">There are 4 mail routes during the week.</w:t>
      </w:r>
    </w:p>
    <w:p>
      <w:pPr>
        <w:numPr>
          <w:ilvl w:val="0"/>
          <w:numId w:val="1004"/>
        </w:numPr>
        <w:pStyle w:val="Compact"/>
      </w:pPr>
      <w:r>
        <w:t xml:space="preserve">On Monday, the mail truck follows the route A-B-E-F-G-H-A, which is 14 miles long.</w:t>
      </w:r>
    </w:p>
    <w:p>
      <w:pPr>
        <w:numPr>
          <w:ilvl w:val="0"/>
          <w:numId w:val="1004"/>
        </w:numPr>
        <w:pStyle w:val="Compact"/>
      </w:pPr>
      <w:r>
        <w:t xml:space="preserve">On Tuesday, the mail truck follows the route B-C-D-E-F-G-B, which is 22 miles long.</w:t>
      </w:r>
    </w:p>
    <w:p>
      <w:pPr>
        <w:numPr>
          <w:ilvl w:val="0"/>
          <w:numId w:val="1004"/>
        </w:numPr>
        <w:pStyle w:val="Compact"/>
      </w:pPr>
      <w:r>
        <w:t xml:space="preserve">On Wednesday, the truck follows the route A-B-C-D-E-F-G-H-A, which is 24 miles long.</w:t>
      </w:r>
    </w:p>
    <w:p>
      <w:pPr>
        <w:numPr>
          <w:ilvl w:val="0"/>
          <w:numId w:val="1004"/>
        </w:numPr>
        <w:pStyle w:val="Compact"/>
      </w:pPr>
      <w:r>
        <w:t xml:space="preserve">On Thursday, the mail truck follows the route B-E-F-G-B.</w:t>
      </w:r>
    </w:p>
    <w:p>
      <w:pPr>
        <w:pStyle w:val="FirstParagraph"/>
      </w:pPr>
      <w:r>
        <w:t xml:space="preserve">How long is the route on Thursdays?</w:t>
      </w:r>
    </w:p>
    <w:bookmarkEnd w:id="29"/>
    <w:bookmarkEnd w:id="30"/>
    <w:bookmarkStart w:id="37" w:name="lesson-1-summary"/>
    <w:p>
      <w:pPr>
        <w:pStyle w:val="Heading3"/>
      </w:pPr>
      <w:r>
        <w:t xml:space="preserve">Lesson 1 Summary</w:t>
      </w:r>
    </w:p>
    <w:p>
      <w:pPr>
        <w:pStyle w:val="FirstParagraph"/>
      </w:pPr>
      <w:r>
        <w:t xml:space="preserve">When we measure the values for two related quantities, plotting the measurements in the coordinate plane can help us decide if it makes sense to model them with a proportional relationship. If the points are close to a line through</w:t>
      </w:r>
      <w:r>
        <w:t xml:space="preserve"> </w:t>
      </w:r>
      <m:oMath>
        <m:d>
          <m:dPr>
            <m:begChr m:val="("/>
            <m:endChr m:val=")"/>
            <m:sepChr m:val=""/>
            <m:grow/>
          </m:dPr>
          <m:e>
            <m:r>
              <m:t>0</m:t>
            </m:r>
            <m:r>
              <m:rPr>
                <m:sty m:val="p"/>
              </m:rPr>
              <m:t>,</m:t>
            </m:r>
            <m:r>
              <m:t>0</m:t>
            </m:r>
          </m:e>
        </m:d>
      </m:oMath>
      <w:r>
        <w:t xml:space="preserve">, then a proportional relationship is a good model. For example, here is a graph of the values for the height, measured in millimeters, of different numbers of pennies placed in a stack.</w:t>
      </w:r>
    </w:p>
    <w:p>
      <w:pPr>
        <w:pStyle w:val="BodyText"/>
      </w:pPr>
      <w:r>
        <w:t xml:space="preserve">Because the points are close to a line through</w:t>
      </w:r>
      <w:r>
        <w:t xml:space="preserve"> </w:t>
      </w:r>
      <m:oMath>
        <m:d>
          <m:dPr>
            <m:begChr m:val="("/>
            <m:endChr m:val=")"/>
            <m:sepChr m:val=""/>
            <m:grow/>
          </m:dPr>
          <m:e>
            <m:r>
              <m:t>0</m:t>
            </m:r>
            <m:r>
              <m:rPr>
                <m:sty m:val="p"/>
              </m:rPr>
              <m:t>,</m:t>
            </m:r>
            <m:r>
              <m:t>0</m:t>
            </m:r>
          </m:e>
        </m:d>
      </m:oMath>
      <w:r>
        <w:t xml:space="preserve">, the height of the stack of pennies appears to be proportional to the number of pennies in a stack. This makes sense because we can see that the heights of the pennies only vary a little bit.</w:t>
      </w:r>
    </w:p>
    <w:p>
      <w:pPr>
        <w:pStyle w:val="BodyText"/>
      </w:pPr>
      <w:r>
        <w:drawing>
          <wp:inline>
            <wp:extent cx="2749316" cy="3727938"/>
            <wp:effectExtent b="0" l="0" r="0" t="0"/>
            <wp:docPr descr="Graph with 5 points plotted." title="" id="32" name="Picture"/>
            <a:graphic>
              <a:graphicData uri="http://schemas.openxmlformats.org/drawingml/2006/picture">
                <pic:pic>
                  <pic:nvPicPr>
                    <pic:cNvPr descr="/app/tmp/embedder-1671038212.0176063.png" id="33" name="Picture"/>
                    <pic:cNvPicPr>
                      <a:picLocks noChangeArrowheads="1" noChangeAspect="1"/>
                    </pic:cNvPicPr>
                  </pic:nvPicPr>
                  <pic:blipFill>
                    <a:blip r:embed="rId31"/>
                    <a:stretch>
                      <a:fillRect/>
                    </a:stretch>
                  </pic:blipFill>
                  <pic:spPr bwMode="auto">
                    <a:xfrm>
                      <a:off x="0" y="0"/>
                      <a:ext cx="2749316" cy="3727938"/>
                    </a:xfrm>
                    <a:prstGeom prst="rect">
                      <a:avLst/>
                    </a:prstGeom>
                    <a:noFill/>
                    <a:ln w="9525">
                      <a:noFill/>
                      <a:headEnd/>
                      <a:tailEnd/>
                    </a:ln>
                  </pic:spPr>
                </pic:pic>
              </a:graphicData>
            </a:graphic>
          </wp:inline>
        </w:drawing>
      </w:r>
    </w:p>
    <w:p>
      <w:pPr>
        <w:pStyle w:val="BodyText"/>
      </w:pPr>
      <w:r>
        <w:t xml:space="preserve">An additional way to investigate whether or not a relationship is proportional is by making a table. Here is some data for the weight of different numbers of pennies in grams, along with the corresponding number of grams per penny.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number of pennies</w:t>
            </w:r>
          </w:p>
        </w:tc>
        <w:tc>
          <w:tcPr/>
          <w:p>
            <w:pPr>
              <w:pStyle w:val="Compact"/>
              <w:jc w:val="left"/>
            </w:pPr>
            <w:r>
              <w:t xml:space="preserve">weight in grams</w:t>
            </w:r>
          </w:p>
        </w:tc>
        <w:tc>
          <w:tcPr/>
          <w:p>
            <w:pPr>
              <w:pStyle w:val="Compact"/>
              <w:jc w:val="left"/>
            </w:pPr>
            <w:r>
              <w:t xml:space="preserve">grams per penny</w:t>
            </w:r>
          </w:p>
        </w:tc>
      </w:tr>
      <w:tr>
        <w:tc>
          <w:tcPr/>
          <w:p>
            <w:pPr>
              <w:pStyle w:val="Compact"/>
              <w:jc w:val="left"/>
            </w:pPr>
            <w:r>
              <w:t xml:space="preserve">1</w:t>
            </w:r>
          </w:p>
        </w:tc>
        <w:tc>
          <w:tcPr/>
          <w:p>
            <w:pPr>
              <w:pStyle w:val="Compact"/>
              <w:jc w:val="left"/>
            </w:pPr>
            <w:r>
              <w:t xml:space="preserve">3.1</w:t>
            </w:r>
          </w:p>
        </w:tc>
        <w:tc>
          <w:tcPr/>
          <w:p>
            <w:pPr>
              <w:pStyle w:val="Compact"/>
              <w:jc w:val="left"/>
            </w:pPr>
            <w:r>
              <w:t xml:space="preserve">3.1</w:t>
            </w:r>
          </w:p>
        </w:tc>
      </w:tr>
      <w:tr>
        <w:tc>
          <w:tcPr/>
          <w:p>
            <w:pPr>
              <w:pStyle w:val="Compact"/>
              <w:jc w:val="left"/>
            </w:pPr>
            <w:r>
              <w:t xml:space="preserve">2</w:t>
            </w:r>
          </w:p>
        </w:tc>
        <w:tc>
          <w:tcPr/>
          <w:p>
            <w:pPr>
              <w:pStyle w:val="Compact"/>
              <w:jc w:val="left"/>
            </w:pPr>
            <w:r>
              <w:t xml:space="preserve">5.6</w:t>
            </w:r>
          </w:p>
        </w:tc>
        <w:tc>
          <w:tcPr/>
          <w:p>
            <w:pPr>
              <w:pStyle w:val="Compact"/>
              <w:jc w:val="left"/>
            </w:pPr>
            <w:r>
              <w:t xml:space="preserve">2.8</w:t>
            </w:r>
          </w:p>
        </w:tc>
      </w:tr>
      <w:tr>
        <w:tc>
          <w:tcPr/>
          <w:p>
            <w:pPr>
              <w:pStyle w:val="Compact"/>
              <w:jc w:val="left"/>
            </w:pPr>
            <w:r>
              <w:t xml:space="preserve">5</w:t>
            </w:r>
          </w:p>
        </w:tc>
        <w:tc>
          <w:tcPr/>
          <w:p>
            <w:pPr>
              <w:pStyle w:val="Compact"/>
              <w:jc w:val="left"/>
            </w:pPr>
            <w:r>
              <w:t xml:space="preserve">13.1</w:t>
            </w:r>
          </w:p>
        </w:tc>
        <w:tc>
          <w:tcPr/>
          <w:p>
            <w:pPr>
              <w:pStyle w:val="Compact"/>
              <w:jc w:val="left"/>
            </w:pPr>
            <w:r>
              <w:t xml:space="preserve">2.6</w:t>
            </w:r>
          </w:p>
        </w:tc>
      </w:tr>
      <w:tr>
        <w:tc>
          <w:tcPr/>
          <w:p>
            <w:pPr>
              <w:pStyle w:val="Compact"/>
              <w:jc w:val="left"/>
            </w:pPr>
            <w:r>
              <w:t xml:space="preserve">10</w:t>
            </w:r>
          </w:p>
        </w:tc>
        <w:tc>
          <w:tcPr/>
          <w:p>
            <w:pPr>
              <w:pStyle w:val="Compact"/>
              <w:jc w:val="left"/>
            </w:pPr>
            <w:r>
              <w:t xml:space="preserve">25.6</w:t>
            </w:r>
          </w:p>
        </w:tc>
        <w:tc>
          <w:tcPr/>
          <w:p>
            <w:pPr>
              <w:pStyle w:val="Compact"/>
              <w:jc w:val="left"/>
            </w:pPr>
            <w:r>
              <w:t xml:space="preserve">2.6</w:t>
            </w:r>
          </w:p>
        </w:tc>
      </w:tr>
    </w:tbl>
    <w:p>
      <w:pPr>
        <w:pStyle w:val="BodyText"/>
      </w:pPr>
      <w:r>
        <w:t xml:space="preserve">Though we might expect this relationship to be proportional, the quotients are not very close to one another. In fact, the metal in pennies changed in 1982, and older pennies are heavier. This explains why the weight per penny for different numbers of pennies are so different!</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2022-12-14T17:16:52Z</dcterms:created>
  <dcterms:modified xsi:type="dcterms:W3CDTF">2022-12-14T17:16:52Z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Lz5wVexX+vM30i9LmbEKvP5JLm69rfvxi2qNYyOHPyULOjUMgN8CrvI2jFXI1SbUx6FX6KknpuoO4GgTV4g8eA==</vt:lpwstr>
  </property>
</Properties>
</file>