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ca273df05cb8601c612fede174efb31cecd0a"/>
    <w:p>
      <w:pPr>
        <w:pStyle w:val="Heading2"/>
      </w:pPr>
      <w:r>
        <w:t xml:space="preserve">Lesson 11: The Distributive Property, Part 3</w:t>
      </w:r>
    </w:p>
    <w:bookmarkEnd w:id="20"/>
    <w:p>
      <w:pPr>
        <w:pStyle w:val="FirstParagraph"/>
      </w:pPr>
      <w:r>
        <w:t xml:space="preserve">Let's practice writing equivalent expressions by using the distributive property.</w:t>
      </w:r>
    </w:p>
    <w:bookmarkStart w:id="24" w:name="the-shaded-region"/>
    <w:p>
      <w:pPr>
        <w:pStyle w:val="Heading3"/>
      </w:pPr>
      <w:r>
        <w:t xml:space="preserve">11.1: The Shaded Region</w:t>
      </w:r>
    </w:p>
    <w:p>
      <w:pPr>
        <w:pStyle w:val="FirstParagraph"/>
      </w:pPr>
      <w:r>
        <w:t xml:space="preserve">A rectangle with dimensions 6 cm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cm is partitioned into two smaller rectangles.</w:t>
      </w:r>
    </w:p>
    <w:p>
      <w:pPr>
        <w:pStyle w:val="BodyText"/>
      </w:pPr>
      <w:r>
        <w:t xml:space="preserve">Explain why each of these expressions represents the area, in cm</w:t>
      </w:r>
      <w:r>
        <w:rPr>
          <w:vertAlign w:val="superscript"/>
        </w:rPr>
        <w:t xml:space="preserve">2</w:t>
      </w:r>
      <w:r>
        <w:t xml:space="preserve">, of the shaded region.</w:t>
      </w:r>
    </w:p>
    <w:p>
      <w:pPr>
        <w:numPr>
          <w:ilvl w:val="0"/>
          <w:numId w:val="1001"/>
        </w:numPr>
      </w:pPr>
      <m:oMath>
        <m:r>
          <m:t>6</m:t>
        </m:r>
        <m:r>
          <m:t>w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pStyle w:val="FirstParagraph"/>
      </w:pPr>
      <w:r>
        <w:drawing>
          <wp:inline>
            <wp:extent cx="2241656" cy="1388420"/>
            <wp:effectExtent b="0" l="0" r="0" t="0"/>
            <wp:docPr descr="A rectangle with height labeled 6 and total width labeled w. A portion of the width &quot;w&quot; is labeled 4.  " title="" id="22" name="Picture"/>
            <a:graphic>
              <a:graphicData uri="http://schemas.openxmlformats.org/drawingml/2006/picture">
                <pic:pic>
                  <pic:nvPicPr>
                    <pic:cNvPr descr="/app/tmp/embedder-1671033115.6903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484462476c5708fb924f09890bdacf034316cb7"/>
    <w:p>
      <w:pPr>
        <w:pStyle w:val="Heading3"/>
      </w:pPr>
      <w:r>
        <w:t xml:space="preserve">11.2: Matching to Practice Distributive Property</w:t>
      </w:r>
    </w:p>
    <w:p>
      <w:pPr>
        <w:pStyle w:val="FirstParagraph"/>
      </w:pPr>
      <w:r>
        <w:t xml:space="preserve">Match each expression in column 1 to an equivalent expression in column 2. If you get stuck, consider drawing a diagram.</w:t>
      </w:r>
    </w:p>
    <w:p>
      <w:pPr>
        <w:pStyle w:val="BodyText"/>
      </w:pPr>
      <w:r>
        <w:t xml:space="preserve">Column 1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t>a</m:t>
        </m:r>
        <m:r>
          <m:rPr>
            <m:sty m:val="p"/>
          </m:rPr>
          <m:t>+</m:t>
        </m:r>
        <m:r>
          <m:t>3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t>a</m:t>
            </m:r>
            <m:r>
              <m:rPr>
                <m:sty m:val="p"/>
              </m:rPr>
              <m:t>−</m:t>
            </m:r>
            <m:r>
              <m:t>18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t>a</m:t>
        </m:r>
        <m:r>
          <m:rPr>
            <m:sty m:val="p"/>
          </m:rPr>
          <m:t>+</m:t>
        </m:r>
        <m:r>
          <m:t>10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r>
          <m:t>0.4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2.5</m:t>
            </m:r>
            <m:r>
              <m:t>a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pStyle w:val="FirstParagraph"/>
      </w:pPr>
      <w:r>
        <w:t xml:space="preserve">Column 2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a</m:t>
            </m:r>
            <m:r>
              <m:rPr>
                <m:sty m:val="p"/>
              </m:rPr>
              <m:t>+</m:t>
            </m:r>
            <m:r>
              <m:t>5</m:t>
            </m:r>
            <m:r>
              <m:t>b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a</m:t>
        </m:r>
      </m:oMath>
    </w:p>
    <w:p>
      <w:pPr>
        <w:numPr>
          <w:ilvl w:val="0"/>
          <w:numId w:val="1003"/>
        </w:numPr>
        <w:pStyle w:val="Compact"/>
      </w:pPr>
      <m:oMath>
        <m:r>
          <m:t>a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t>a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a</m:t>
        </m:r>
      </m:oMath>
    </w:p>
    <w:bookmarkEnd w:id="25"/>
    <w:bookmarkStart w:id="30" w:name="X11c83bed403dd6a1606f7b80551525958ffc7a3"/>
    <w:p>
      <w:pPr>
        <w:pStyle w:val="Heading3"/>
      </w:pPr>
      <w:r>
        <w:t xml:space="preserve">11.3: Writing Equivalent Expressions Using the Distributive Property</w:t>
      </w:r>
    </w:p>
    <w:p>
      <w:pPr>
        <w:pStyle w:val="FirstParagraph"/>
      </w:pPr>
      <w:r>
        <w:t xml:space="preserve">The distributive property can be used to write equivalent expressions. In each row, use the distributive property to write an equivalent expression. If you get stuck, consider 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or difference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x</m:t>
              </m:r>
              <m:r>
                <m:t>z</m:t>
              </m:r>
            </m:oMath>
          </w:p>
        </w:tc>
      </w:tr>
    </w:tbl>
    <w:p>
      <w:pPr>
        <w:pStyle w:val="BodyText"/>
      </w:pPr>
      <w:r>
        <w:t xml:space="preserve">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This rectangle has been cut up into squares of varying sizes. Both small squares have side length 1 unit. The square in the middle has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units.</w:t>
      </w:r>
    </w:p>
    <w:p>
      <w:pPr>
        <w:pStyle w:val="BodyText"/>
      </w:pPr>
      <w:r>
        <w:drawing>
          <wp:inline>
            <wp:extent cx="5943600" cy="4345858"/>
            <wp:effectExtent b="0" l="0" r="0" t="0"/>
            <wp:docPr descr="A rectangle tiled with squares of various sizes." title="" id="27" name="Picture"/>
            <a:graphic>
              <a:graphicData uri="http://schemas.openxmlformats.org/drawingml/2006/picture">
                <pic:pic>
                  <pic:nvPicPr>
                    <pic:cNvPr descr="/app/tmp/embedder-1671033115.7247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5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Suppose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 Find the area of each square in the diagram. Then find the area of the large rectangle.</w:t>
      </w:r>
    </w:p>
    <w:p>
      <w:pPr>
        <w:numPr>
          <w:ilvl w:val="0"/>
          <w:numId w:val="1004"/>
        </w:numPr>
        <w:pStyle w:val="Compact"/>
      </w:pPr>
      <w:r>
        <w:t xml:space="preserve">Find the side lengths of the large rectangle assuming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 Find the area of the large rectangle by multiplying the length times the width. Check that this is the same area you found before.</w:t>
      </w:r>
    </w:p>
    <w:p>
      <w:pPr>
        <w:numPr>
          <w:ilvl w:val="0"/>
          <w:numId w:val="1004"/>
        </w:numPr>
        <w:pStyle w:val="Compact"/>
      </w:pPr>
      <w:r>
        <w:t xml:space="preserve">Now suppose that we do not know the value of</w:t>
      </w:r>
      <w:r>
        <w:t xml:space="preserve"> </w:t>
      </w:r>
      <m:oMath>
        <m:r>
          <m:t>x</m:t>
        </m:r>
      </m:oMath>
      <w:r>
        <w:t xml:space="preserve">. Write an expression for the side lengths of the large rectangle that involves</w:t>
      </w:r>
      <w:r>
        <w:t xml:space="preserve"> </w:t>
      </w:r>
      <m:oMath>
        <m:r>
          <m:t>x</m:t>
        </m:r>
      </m:oMath>
      <w:r>
        <w:t xml:space="preserve">.</w:t>
      </w:r>
    </w:p>
    <w:bookmarkEnd w:id="29"/>
    <w:bookmarkEnd w:id="30"/>
    <w:bookmarkStart w:id="34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The distributive property can be used to write a sum as a product, or write a product as a sum. You can always draw a partitioned rectangle to help reason about it, but with enough practice, you should be able to apply the distributive property without making a drawing.</w:t>
      </w:r>
    </w:p>
    <w:p>
      <w:pPr>
        <w:pStyle w:val="BodyText"/>
      </w:pPr>
      <w:r>
        <w:t xml:space="preserve">Here are some examples of expressions that are equivalent due to the distributive property.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9</m:t>
              </m:r>
              <m:r>
                <m:rPr>
                  <m:sty m:val="p"/>
                </m:rPr>
                <m:t>+</m:t>
              </m:r>
              <m:r>
                <m:t>18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t>2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</m:mr>
          <m:mr>
            <m:e>
              <m:r>
                <m:t>11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99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  <m:r>
                    <m:t>a</m:t>
                  </m:r>
                </m:e>
              </m:d>
            </m:e>
          </m:mr>
          <m:mr>
            <m:e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k</m:t>
              </m:r>
              <m:r>
                <m:t>c</m:t>
              </m:r>
              <m:r>
                <m:rPr>
                  <m:sty m:val="p"/>
                </m:rPr>
                <m:t>+</m:t>
              </m:r>
              <m:r>
                <m:t>k</m:t>
              </m:r>
              <m:r>
                <m:t>d</m:t>
              </m:r>
              <m:r>
                <m:rPr>
                  <m:sty m:val="p"/>
                </m:rPr>
                <m:t>−</m:t>
              </m:r>
              <m:r>
                <m:t>k</m:t>
              </m:r>
              <m:r>
                <m:t>e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2022-12-14T15:51:56Z</dcterms:created>
  <dcterms:modified xsi:type="dcterms:W3CDTF">2022-12-14T15:51:56Z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E4uBUFn+Kwjjvs9x4+WRP4tKeqA3WOEZMf/3ZUVrsvM3j8QJNXbTVSZabG+ygb1XsqIDJiPSvAK0dRIVMWSxrg==</vt:lpwstr>
  </property>
</Properties>
</file>