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3d16b075809e9ab8268960cc0e5dd26838d4f02"/>
    <w:p>
      <w:pPr>
        <w:pStyle w:val="Heading1"/>
      </w:pPr>
      <w:r>
        <w:t xml:space="preserve">Lesson 11: Rectángulos que tienen el mismo perímetro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rectangles with the same perimeter and different areas.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rectángulos que tienen el mismo perímetro.</w:t>
      </w:r>
    </w:p>
    <w:bookmarkEnd w:id="25"/>
    <w:bookmarkStart w:id="26" w:name="lesson-purpose"/>
    <w:p>
      <w:pPr>
        <w:pStyle w:val="Heading3"/>
      </w:pPr>
      <w:r>
        <w:t xml:space="preserve">Lesson Purpose</w:t>
      </w:r>
    </w:p>
    <w:p>
      <w:pPr>
        <w:pStyle w:val="FirstParagraph"/>
      </w:pPr>
      <w:r>
        <w:t xml:space="preserve">The purpose of this lesson is for students to understand that rectangles with the same perimeter do not always have the same area.</w:t>
      </w:r>
    </w:p>
    <w:p>
      <w:pPr>
        <w:pStyle w:val="BodyText"/>
      </w:pPr>
      <w:r>
        <w:t xml:space="preserve">In previous lessons, students learned to find the area and perimeter of rectangles. In this lesson, students draw rectangles with a specified perimeter, find their areas, and notice that rectangles with the same perimeter do not always have the same area. Students then draw rectangles with specific perimeter that have different areas.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p>
      <w:pPr>
        <w:numPr>
          <w:ilvl w:val="0"/>
          <w:numId w:val="1005"/>
        </w:numPr>
        <w:pStyle w:val="Compact"/>
      </w:pPr>
      <w:r>
        <w:t xml:space="preserve">Tape: Activity 2</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has been sharing their ideas in class lately? Make a note of students whose ideas have not been featured in class and look for an opportunity for them to share their thinking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Perímetro de 18</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Dibuja dos rectángulos que tengan un perímetro de 18 unidades cada uno, pero que tengan áreas diferentes. Explica o muestra cómo razonaste.</w:t>
      </w:r>
    </w:p>
    <w:p>
      <w:pPr>
        <w:pStyle w:val="BodyText"/>
      </w:pPr>
      <w:r>
        <w:drawing>
          <wp:inline>
            <wp:extent cx="4370603" cy="3290608"/>
            <wp:effectExtent b="0" l="0" r="0" t="0"/>
            <wp:docPr descr="" title="" id="47" name="Picture"/>
            <a:graphic>
              <a:graphicData uri="http://schemas.openxmlformats.org/drawingml/2006/picture">
                <pic:pic>
                  <pic:nvPicPr>
                    <pic:cNvPr descr="/app/tmp/embedder-1671062956.942464.png" id="48" name="Picture"/>
                    <pic:cNvPicPr>
                      <a:picLocks noChangeArrowheads="1" noChangeAspect="1"/>
                    </pic:cNvPicPr>
                  </pic:nvPicPr>
                  <pic:blipFill>
                    <a:blip r:embed="rId46"/>
                    <a:stretch>
                      <a:fillRect/>
                    </a:stretch>
                  </pic:blipFill>
                  <pic:spPr bwMode="auto">
                    <a:xfrm>
                      <a:off x="0" y="0"/>
                      <a:ext cx="4370603" cy="329060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 Students draw rectangles that are 1 by 8 (area: 8 square units), 2 by 7 (area: 14 square units), 3 by 6 (area: 18 square units), or 4 by 5 (20 square units), and explain how the perimeter is the same, but the area is different.</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2022-12-15T00:09:17Z</dcterms:created>
  <dcterms:modified xsi:type="dcterms:W3CDTF">2022-12-15T00:09:17Z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GLQ3wLJsgNXxn3dEedpTByTFvDkVQGbqOlx76oqcunI8sHKZ3uR4iDR71Foovn9vHS3FvwHKO/G/1p6a/pO5Lw==</vt:lpwstr>
  </property>
</Properties>
</file>