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9.png" ContentType="image/png"/>
  <Override PartName="/word/media/rId21.png" ContentType="image/png"/>
  <Override PartName="/word/media/rId24.png" ContentType="image/png"/>
  <Override PartName="/word/media/rId30.png" ContentType="image/png"/>
  <Override PartName="/word/media/rId33.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3-a-gallery-of-data"/>
    <w:p>
      <w:pPr>
        <w:pStyle w:val="Heading2"/>
      </w:pPr>
      <w:r>
        <w:t xml:space="preserve">Lesson 3: A Gallery of Data</w:t>
      </w:r>
    </w:p>
    <w:bookmarkEnd w:id="20"/>
    <w:p>
      <w:pPr>
        <w:numPr>
          <w:ilvl w:val="0"/>
          <w:numId w:val="1001"/>
        </w:numPr>
        <w:pStyle w:val="Compact"/>
      </w:pPr>
      <w:r>
        <w:t xml:space="preserve">Let’s make, compare, and interpret data displays.</w:t>
      </w:r>
    </w:p>
    <w:bookmarkStart w:id="27" w:name="notice-and-wonder-dot-plots"/>
    <w:p>
      <w:pPr>
        <w:pStyle w:val="Heading3"/>
      </w:pPr>
      <w:r>
        <w:t xml:space="preserve">3.1: Notice and Wonder: Dot Plots</w:t>
      </w:r>
    </w:p>
    <w:p>
      <w:pPr>
        <w:pStyle w:val="FirstParagraph"/>
      </w:pPr>
      <w:r>
        <w:t xml:space="preserve">The dot plots represent the distribution of the amount of tips, in dollars, left at 2 different restaurants on the same night.</w:t>
      </w:r>
    </w:p>
    <w:p>
      <w:pPr>
        <w:pStyle w:val="BodyText"/>
      </w:pPr>
      <w:r>
        <w:t xml:space="preserve">What do you notice? What do you wonder?</w:t>
      </w:r>
    </w:p>
    <w:p>
      <w:pPr>
        <w:pStyle w:val="BodyText"/>
      </w:pPr>
      <w:r>
        <w:drawing>
          <wp:inline>
            <wp:extent cx="3900970" cy="760444"/>
            <wp:effectExtent b="0" l="0" r="0" t="0"/>
            <wp:docPr descr="Dot plot from 0 to 11 by 1’s. tip amount (dollars). Beginning at 0, number of dots above each increment is 0, 1, 2, 3, 4, 2, 1, 1, 2, 1, 1, 0." title="" id="22" name="Picture"/>
            <a:graphic>
              <a:graphicData uri="http://schemas.openxmlformats.org/drawingml/2006/picture">
                <pic:pic>
                  <pic:nvPicPr>
                    <pic:cNvPr descr="/app/tmp/embedder-1670992932.7473981.png" id="23" name="Picture"/>
                    <pic:cNvPicPr>
                      <a:picLocks noChangeArrowheads="1" noChangeAspect="1"/>
                    </pic:cNvPicPr>
                  </pic:nvPicPr>
                  <pic:blipFill>
                    <a:blip r:embed="rId21"/>
                    <a:stretch>
                      <a:fillRect/>
                    </a:stretch>
                  </pic:blipFill>
                  <pic:spPr bwMode="auto">
                    <a:xfrm>
                      <a:off x="0" y="0"/>
                      <a:ext cx="3900970" cy="760444"/>
                    </a:xfrm>
                    <a:prstGeom prst="rect">
                      <a:avLst/>
                    </a:prstGeom>
                    <a:noFill/>
                    <a:ln w="9525">
                      <a:noFill/>
                      <a:headEnd/>
                      <a:tailEnd/>
                    </a:ln>
                  </pic:spPr>
                </pic:pic>
              </a:graphicData>
            </a:graphic>
          </wp:inline>
        </w:drawing>
      </w:r>
    </w:p>
    <w:p>
      <w:pPr>
        <w:pStyle w:val="BodyText"/>
      </w:pPr>
      <w:r>
        <w:drawing>
          <wp:inline>
            <wp:extent cx="3900970" cy="760444"/>
            <wp:effectExtent b="0" l="0" r="0" t="0"/>
            <wp:docPr descr="Dot plot from 7 to 18 by 1’s. tip amount (dollars). Beginning at 7, number of dots above each increment is 0, 1, 2, 3, 4, 2, 1, 1, 2, 1, 1, 0." title="" id="25" name="Picture"/>
            <a:graphic>
              <a:graphicData uri="http://schemas.openxmlformats.org/drawingml/2006/picture">
                <pic:pic>
                  <pic:nvPicPr>
                    <pic:cNvPr descr="/app/tmp/embedder-1670992932.811691.png" id="26" name="Picture"/>
                    <pic:cNvPicPr>
                      <a:picLocks noChangeArrowheads="1" noChangeAspect="1"/>
                    </pic:cNvPicPr>
                  </pic:nvPicPr>
                  <pic:blipFill>
                    <a:blip r:embed="rId24"/>
                    <a:stretch>
                      <a:fillRect/>
                    </a:stretch>
                  </pic:blipFill>
                  <pic:spPr bwMode="auto">
                    <a:xfrm>
                      <a:off x="0" y="0"/>
                      <a:ext cx="3900970" cy="760444"/>
                    </a:xfrm>
                    <a:prstGeom prst="rect">
                      <a:avLst/>
                    </a:prstGeom>
                    <a:noFill/>
                    <a:ln w="9525">
                      <a:noFill/>
                      <a:headEnd/>
                      <a:tailEnd/>
                    </a:ln>
                  </pic:spPr>
                </pic:pic>
              </a:graphicData>
            </a:graphic>
          </wp:inline>
        </w:drawing>
      </w:r>
    </w:p>
    <w:bookmarkEnd w:id="27"/>
    <w:bookmarkStart w:id="29" w:name="data-displays"/>
    <w:p>
      <w:pPr>
        <w:pStyle w:val="Heading3"/>
      </w:pPr>
      <w:r>
        <w:t xml:space="preserve">3.2: Data Displays</w:t>
      </w:r>
    </w:p>
    <w:p>
      <w:pPr>
        <w:pStyle w:val="FirstParagraph"/>
      </w:pPr>
      <w:r>
        <w:t xml:space="preserve">Your teacher will assign your group a statistical question. As a group:</w:t>
      </w:r>
    </w:p>
    <w:p>
      <w:pPr>
        <w:numPr>
          <w:ilvl w:val="0"/>
          <w:numId w:val="1002"/>
        </w:numPr>
        <w:pStyle w:val="Compact"/>
      </w:pPr>
      <w:r>
        <w:t xml:space="preserve">Create a dot plot, histogram, and box plot to display the distribution of the data.</w:t>
      </w:r>
    </w:p>
    <w:p>
      <w:pPr>
        <w:numPr>
          <w:ilvl w:val="0"/>
          <w:numId w:val="1002"/>
        </w:numPr>
        <w:pStyle w:val="Compact"/>
      </w:pPr>
      <w:r>
        <w:t xml:space="preserve">Write 3 comments that interpret the data.</w:t>
      </w:r>
    </w:p>
    <w:p>
      <w:pPr>
        <w:pStyle w:val="FirstParagraph"/>
      </w:pPr>
      <w:r>
        <w:t xml:space="preserve">As you visit each display, write a sentence or two summarizing the information in the display.</w:t>
      </w:r>
    </w:p>
    <w:bookmarkStart w:id="28" w:name="are-you-ready-for-more"/>
    <w:p>
      <w:pPr>
        <w:pStyle w:val="Heading4"/>
      </w:pPr>
      <w:r>
        <w:t xml:space="preserve">Are you ready for more?</w:t>
      </w:r>
    </w:p>
    <w:p>
      <w:pPr>
        <w:pStyle w:val="FirstParagraph"/>
      </w:pPr>
      <w:r>
        <w:t xml:space="preserve">Choose one of the more interesting questions you or a classmate asked and collect data from a larger group, such as more students from the school. Create a data display and compare results from the data collected in class.</w:t>
      </w:r>
    </w:p>
    <w:bookmarkEnd w:id="28"/>
    <w:bookmarkEnd w:id="29"/>
    <w:bookmarkStart w:id="42" w:name="lesson-3-summary"/>
    <w:p>
      <w:pPr>
        <w:pStyle w:val="Heading3"/>
      </w:pPr>
      <w:r>
        <w:t xml:space="preserve">Lesson 3 Summary</w:t>
      </w:r>
    </w:p>
    <w:p>
      <w:pPr>
        <w:pStyle w:val="FirstParagraph"/>
      </w:pPr>
      <w:r>
        <w:t xml:space="preserve">We can represent a distribution of data in several different forms, including lists, dot plots, histograms, and box plots. A list displays all of the values in a data set and can be organized in different ways. This list shows the pH for 30 different water samples. </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5.9</w:t>
            </w:r>
          </w:p>
        </w:tc>
        <w:tc>
          <w:tcPr/>
          <w:p>
            <w:pPr>
              <w:pStyle w:val="Compact"/>
              <w:jc w:val="left"/>
            </w:pPr>
            <w:r>
              <w:t xml:space="preserve">7.6</w:t>
            </w:r>
          </w:p>
        </w:tc>
        <w:tc>
          <w:tcPr/>
          <w:p>
            <w:pPr>
              <w:pStyle w:val="Compact"/>
              <w:jc w:val="left"/>
            </w:pPr>
            <w:r>
              <w:t xml:space="preserve">7.5</w:t>
            </w:r>
          </w:p>
        </w:tc>
        <w:tc>
          <w:tcPr/>
          <w:p>
            <w:pPr>
              <w:pStyle w:val="Compact"/>
              <w:jc w:val="left"/>
            </w:pPr>
            <w:r>
              <w:t xml:space="preserve">8.2</w:t>
            </w:r>
          </w:p>
        </w:tc>
        <w:tc>
          <w:tcPr/>
          <w:p>
            <w:pPr>
              <w:pStyle w:val="Compact"/>
              <w:jc w:val="left"/>
            </w:pPr>
            <w:r>
              <w:t xml:space="preserve">7.6</w:t>
            </w:r>
          </w:p>
        </w:tc>
        <w:tc>
          <w:tcPr/>
          <w:p>
            <w:pPr>
              <w:pStyle w:val="Compact"/>
              <w:jc w:val="left"/>
            </w:pPr>
            <w:r>
              <w:t xml:space="preserve">8.6</w:t>
            </w:r>
          </w:p>
        </w:tc>
        <w:tc>
          <w:tcPr/>
          <w:p>
            <w:pPr>
              <w:pStyle w:val="Compact"/>
              <w:jc w:val="left"/>
            </w:pPr>
            <w:r>
              <w:t xml:space="preserve">8.1</w:t>
            </w:r>
          </w:p>
        </w:tc>
        <w:tc>
          <w:tcPr/>
          <w:p>
            <w:pPr>
              <w:pStyle w:val="Compact"/>
              <w:jc w:val="left"/>
            </w:pPr>
            <w:r>
              <w:t xml:space="preserve">7.9</w:t>
            </w:r>
          </w:p>
        </w:tc>
      </w:tr>
      <w:tr>
        <w:tc>
          <w:tcPr/>
          <w:p>
            <w:pPr>
              <w:pStyle w:val="Compact"/>
              <w:jc w:val="left"/>
            </w:pPr>
            <w:r>
              <w:t xml:space="preserve">6.1</w:t>
            </w:r>
          </w:p>
        </w:tc>
        <w:tc>
          <w:tcPr/>
          <w:p>
            <w:pPr>
              <w:pStyle w:val="Compact"/>
              <w:jc w:val="left"/>
            </w:pPr>
            <w:r>
              <w:t xml:space="preserve">6.3</w:t>
            </w:r>
          </w:p>
        </w:tc>
        <w:tc>
          <w:tcPr/>
          <w:p>
            <w:pPr>
              <w:pStyle w:val="Compact"/>
              <w:jc w:val="left"/>
            </w:pPr>
            <w:r>
              <w:t xml:space="preserve">6.9</w:t>
            </w:r>
          </w:p>
        </w:tc>
        <w:tc>
          <w:tcPr/>
          <w:p>
            <w:pPr>
              <w:pStyle w:val="Compact"/>
              <w:jc w:val="left"/>
            </w:pPr>
            <w:r>
              <w:t xml:space="preserve">7.1</w:t>
            </w:r>
          </w:p>
        </w:tc>
        <w:tc>
          <w:tcPr/>
          <w:p>
            <w:pPr>
              <w:pStyle w:val="Compact"/>
              <w:jc w:val="left"/>
            </w:pPr>
            <w:r>
              <w:t xml:space="preserve">8.4</w:t>
            </w:r>
          </w:p>
        </w:tc>
        <w:tc>
          <w:tcPr/>
          <w:p>
            <w:pPr>
              <w:pStyle w:val="Compact"/>
              <w:jc w:val="left"/>
            </w:pPr>
            <w:r>
              <w:t xml:space="preserve">6.5</w:t>
            </w:r>
          </w:p>
        </w:tc>
        <w:tc>
          <w:tcPr/>
          <w:p>
            <w:pPr>
              <w:pStyle w:val="Compact"/>
              <w:jc w:val="left"/>
            </w:pPr>
            <w:r>
              <w:t xml:space="preserve">7.2</w:t>
            </w:r>
          </w:p>
        </w:tc>
        <w:tc>
          <w:tcPr/>
          <w:p>
            <w:pPr>
              <w:pStyle w:val="Compact"/>
              <w:jc w:val="left"/>
            </w:pPr>
            <w:r>
              <w:t xml:space="preserve">6.8</w:t>
            </w:r>
          </w:p>
        </w:tc>
      </w:tr>
      <w:tr>
        <w:tc>
          <w:tcPr/>
          <w:p>
            <w:pPr>
              <w:pStyle w:val="Compact"/>
              <w:jc w:val="left"/>
            </w:pPr>
            <w:r>
              <w:t xml:space="preserve">7.3</w:t>
            </w:r>
          </w:p>
        </w:tc>
        <w:tc>
          <w:tcPr/>
          <w:p>
            <w:pPr>
              <w:pStyle w:val="Compact"/>
              <w:jc w:val="left"/>
            </w:pPr>
            <w:r>
              <w:t xml:space="preserve">8.1</w:t>
            </w:r>
          </w:p>
        </w:tc>
        <w:tc>
          <w:tcPr/>
          <w:p>
            <w:pPr>
              <w:pStyle w:val="Compact"/>
              <w:jc w:val="left"/>
            </w:pPr>
            <w:r>
              <w:t xml:space="preserve">5.8</w:t>
            </w:r>
          </w:p>
        </w:tc>
        <w:tc>
          <w:tcPr/>
          <w:p>
            <w:pPr>
              <w:pStyle w:val="Compact"/>
              <w:jc w:val="left"/>
            </w:pPr>
            <w:r>
              <w:t xml:space="preserve">7.5</w:t>
            </w:r>
          </w:p>
        </w:tc>
        <w:tc>
          <w:tcPr/>
          <w:p>
            <w:pPr>
              <w:pStyle w:val="Compact"/>
              <w:jc w:val="left"/>
            </w:pPr>
            <w:r>
              <w:t xml:space="preserve">7.1</w:t>
            </w:r>
          </w:p>
        </w:tc>
        <w:tc>
          <w:tcPr/>
          <w:p>
            <w:pPr>
              <w:pStyle w:val="Compact"/>
              <w:jc w:val="left"/>
            </w:pPr>
            <w:r>
              <w:t xml:space="preserve">8.4</w:t>
            </w:r>
          </w:p>
        </w:tc>
        <w:tc>
          <w:tcPr/>
          <w:p>
            <w:pPr>
              <w:pStyle w:val="Compact"/>
              <w:jc w:val="left"/>
            </w:pPr>
            <w:r>
              <w:t xml:space="preserve">8.0</w:t>
            </w:r>
          </w:p>
        </w:tc>
        <w:tc>
          <w:tcPr/>
          <w:p>
            <w:pPr>
              <w:pStyle w:val="Compact"/>
              <w:jc w:val="left"/>
            </w:pPr>
            <w:r>
              <w:t xml:space="preserve">7.2</w:t>
            </w:r>
          </w:p>
        </w:tc>
      </w:tr>
      <w:tr>
        <w:tc>
          <w:tcPr/>
          <w:p>
            <w:pPr>
              <w:pStyle w:val="Compact"/>
              <w:jc w:val="left"/>
            </w:pPr>
            <w:r>
              <w:t xml:space="preserve">7.4</w:t>
            </w:r>
          </w:p>
        </w:tc>
        <w:tc>
          <w:tcPr/>
          <w:p>
            <w:pPr>
              <w:pStyle w:val="Compact"/>
              <w:jc w:val="left"/>
            </w:pPr>
            <w:r>
              <w:t xml:space="preserve">6.5</w:t>
            </w:r>
          </w:p>
        </w:tc>
        <w:tc>
          <w:tcPr/>
          <w:p>
            <w:pPr>
              <w:pStyle w:val="Compact"/>
              <w:jc w:val="left"/>
            </w:pPr>
            <w:r>
              <w:t xml:space="preserve">6.8</w:t>
            </w:r>
          </w:p>
        </w:tc>
        <w:tc>
          <w:tcPr/>
          <w:p>
            <w:pPr>
              <w:pStyle w:val="Compact"/>
              <w:jc w:val="left"/>
            </w:pPr>
            <w:r>
              <w:t xml:space="preserve">7.0</w:t>
            </w:r>
          </w:p>
        </w:tc>
        <w:tc>
          <w:tcPr/>
          <w:p>
            <w:pPr>
              <w:pStyle w:val="Compact"/>
              <w:jc w:val="left"/>
            </w:pPr>
            <w:r>
              <w:t xml:space="preserve">7.4</w:t>
            </w:r>
          </w:p>
        </w:tc>
        <w:tc>
          <w:tcPr/>
          <w:p>
            <w:pPr>
              <w:pStyle w:val="Compact"/>
              <w:jc w:val="left"/>
            </w:pPr>
            <w:r>
              <w:t xml:space="preserve">7.6</w:t>
            </w:r>
          </w:p>
        </w:tc>
        <w:tc>
          <w:tcPr/>
          <w:p>
            <w:pPr>
              <w:pStyle w:val="Compact"/>
            </w:pPr>
          </w:p>
        </w:tc>
        <w:tc>
          <w:tcPr/>
          <w:p>
            <w:pPr>
              <w:pStyle w:val="Compact"/>
            </w:pPr>
          </w:p>
        </w:tc>
      </w:tr>
    </w:tbl>
    <w:p>
      <w:pPr>
        <w:pStyle w:val="BodyText"/>
      </w:pPr>
      <w:r>
        <w:br/>
      </w:r>
    </w:p>
    <w:p>
      <w:pPr>
        <w:pStyle w:val="BodyText"/>
      </w:pPr>
      <w:r>
        <w:t xml:space="preserve">Here is the same list organized in order from least to greatest. </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5.8</w:t>
            </w:r>
          </w:p>
        </w:tc>
        <w:tc>
          <w:tcPr/>
          <w:p>
            <w:pPr>
              <w:pStyle w:val="Compact"/>
              <w:jc w:val="left"/>
            </w:pPr>
            <w:r>
              <w:t xml:space="preserve">5.9</w:t>
            </w:r>
          </w:p>
        </w:tc>
        <w:tc>
          <w:tcPr/>
          <w:p>
            <w:pPr>
              <w:pStyle w:val="Compact"/>
              <w:jc w:val="left"/>
            </w:pPr>
            <w:r>
              <w:t xml:space="preserve">6.1</w:t>
            </w:r>
          </w:p>
        </w:tc>
        <w:tc>
          <w:tcPr/>
          <w:p>
            <w:pPr>
              <w:pStyle w:val="Compact"/>
              <w:jc w:val="left"/>
            </w:pPr>
            <w:r>
              <w:t xml:space="preserve">6.3</w:t>
            </w:r>
          </w:p>
        </w:tc>
        <w:tc>
          <w:tcPr/>
          <w:p>
            <w:pPr>
              <w:pStyle w:val="Compact"/>
              <w:jc w:val="left"/>
            </w:pPr>
            <w:r>
              <w:t xml:space="preserve">6.5</w:t>
            </w:r>
          </w:p>
        </w:tc>
        <w:tc>
          <w:tcPr/>
          <w:p>
            <w:pPr>
              <w:pStyle w:val="Compact"/>
              <w:jc w:val="left"/>
            </w:pPr>
            <w:r>
              <w:t xml:space="preserve">6.5</w:t>
            </w:r>
          </w:p>
        </w:tc>
        <w:tc>
          <w:tcPr/>
          <w:p>
            <w:pPr>
              <w:pStyle w:val="Compact"/>
              <w:jc w:val="left"/>
            </w:pPr>
            <w:r>
              <w:t xml:space="preserve">6.8</w:t>
            </w:r>
          </w:p>
        </w:tc>
        <w:tc>
          <w:tcPr/>
          <w:p>
            <w:pPr>
              <w:pStyle w:val="Compact"/>
              <w:jc w:val="left"/>
            </w:pPr>
            <w:r>
              <w:t xml:space="preserve">6.8</w:t>
            </w:r>
          </w:p>
        </w:tc>
      </w:tr>
      <w:tr>
        <w:tc>
          <w:tcPr/>
          <w:p>
            <w:pPr>
              <w:pStyle w:val="Compact"/>
              <w:jc w:val="left"/>
            </w:pPr>
            <w:r>
              <w:t xml:space="preserve">6.9</w:t>
            </w:r>
          </w:p>
        </w:tc>
        <w:tc>
          <w:tcPr/>
          <w:p>
            <w:pPr>
              <w:pStyle w:val="Compact"/>
              <w:jc w:val="left"/>
            </w:pPr>
            <w:r>
              <w:t xml:space="preserve">7.0</w:t>
            </w:r>
          </w:p>
        </w:tc>
        <w:tc>
          <w:tcPr/>
          <w:p>
            <w:pPr>
              <w:pStyle w:val="Compact"/>
              <w:jc w:val="left"/>
            </w:pPr>
            <w:r>
              <w:t xml:space="preserve">7.1</w:t>
            </w:r>
          </w:p>
        </w:tc>
        <w:tc>
          <w:tcPr/>
          <w:p>
            <w:pPr>
              <w:pStyle w:val="Compact"/>
              <w:jc w:val="left"/>
            </w:pPr>
            <w:r>
              <w:t xml:space="preserve">7.1</w:t>
            </w:r>
          </w:p>
        </w:tc>
        <w:tc>
          <w:tcPr/>
          <w:p>
            <w:pPr>
              <w:pStyle w:val="Compact"/>
              <w:jc w:val="left"/>
            </w:pPr>
            <w:r>
              <w:t xml:space="preserve">7.2</w:t>
            </w:r>
          </w:p>
        </w:tc>
        <w:tc>
          <w:tcPr/>
          <w:p>
            <w:pPr>
              <w:pStyle w:val="Compact"/>
              <w:jc w:val="left"/>
            </w:pPr>
            <w:r>
              <w:t xml:space="preserve">7.2</w:t>
            </w:r>
          </w:p>
        </w:tc>
        <w:tc>
          <w:tcPr/>
          <w:p>
            <w:pPr>
              <w:pStyle w:val="Compact"/>
              <w:jc w:val="left"/>
            </w:pPr>
            <w:r>
              <w:t xml:space="preserve">7.3</w:t>
            </w:r>
          </w:p>
        </w:tc>
        <w:tc>
          <w:tcPr/>
          <w:p>
            <w:pPr>
              <w:pStyle w:val="Compact"/>
              <w:jc w:val="left"/>
            </w:pPr>
            <w:r>
              <w:t xml:space="preserve">7.4</w:t>
            </w:r>
          </w:p>
        </w:tc>
      </w:tr>
      <w:tr>
        <w:tc>
          <w:tcPr/>
          <w:p>
            <w:pPr>
              <w:pStyle w:val="Compact"/>
              <w:jc w:val="left"/>
            </w:pPr>
            <w:r>
              <w:t xml:space="preserve">7.4</w:t>
            </w:r>
          </w:p>
        </w:tc>
        <w:tc>
          <w:tcPr/>
          <w:p>
            <w:pPr>
              <w:pStyle w:val="Compact"/>
              <w:jc w:val="left"/>
            </w:pPr>
            <w:r>
              <w:t xml:space="preserve">7.5</w:t>
            </w:r>
          </w:p>
        </w:tc>
        <w:tc>
          <w:tcPr/>
          <w:p>
            <w:pPr>
              <w:pStyle w:val="Compact"/>
              <w:jc w:val="left"/>
            </w:pPr>
            <w:r>
              <w:t xml:space="preserve">7.5</w:t>
            </w:r>
          </w:p>
        </w:tc>
        <w:tc>
          <w:tcPr/>
          <w:p>
            <w:pPr>
              <w:pStyle w:val="Compact"/>
              <w:jc w:val="left"/>
            </w:pPr>
            <w:r>
              <w:t xml:space="preserve">7.6</w:t>
            </w:r>
          </w:p>
        </w:tc>
        <w:tc>
          <w:tcPr/>
          <w:p>
            <w:pPr>
              <w:pStyle w:val="Compact"/>
              <w:jc w:val="left"/>
            </w:pPr>
            <w:r>
              <w:t xml:space="preserve">7.6</w:t>
            </w:r>
          </w:p>
        </w:tc>
        <w:tc>
          <w:tcPr/>
          <w:p>
            <w:pPr>
              <w:pStyle w:val="Compact"/>
              <w:jc w:val="left"/>
            </w:pPr>
            <w:r>
              <w:t xml:space="preserve">7.6</w:t>
            </w:r>
          </w:p>
        </w:tc>
        <w:tc>
          <w:tcPr/>
          <w:p>
            <w:pPr>
              <w:pStyle w:val="Compact"/>
              <w:jc w:val="left"/>
            </w:pPr>
            <w:r>
              <w:t xml:space="preserve">7.9</w:t>
            </w:r>
          </w:p>
        </w:tc>
        <w:tc>
          <w:tcPr/>
          <w:p>
            <w:pPr>
              <w:pStyle w:val="Compact"/>
              <w:jc w:val="left"/>
            </w:pPr>
            <w:r>
              <w:t xml:space="preserve">8.0</w:t>
            </w:r>
          </w:p>
        </w:tc>
      </w:tr>
      <w:tr>
        <w:tc>
          <w:tcPr/>
          <w:p>
            <w:pPr>
              <w:pStyle w:val="Compact"/>
              <w:jc w:val="left"/>
            </w:pPr>
            <w:r>
              <w:t xml:space="preserve">8.1</w:t>
            </w:r>
          </w:p>
        </w:tc>
        <w:tc>
          <w:tcPr/>
          <w:p>
            <w:pPr>
              <w:pStyle w:val="Compact"/>
              <w:jc w:val="left"/>
            </w:pPr>
            <w:r>
              <w:t xml:space="preserve">8.1</w:t>
            </w:r>
          </w:p>
        </w:tc>
        <w:tc>
          <w:tcPr/>
          <w:p>
            <w:pPr>
              <w:pStyle w:val="Compact"/>
              <w:jc w:val="left"/>
            </w:pPr>
            <w:r>
              <w:t xml:space="preserve">8.2</w:t>
            </w:r>
          </w:p>
        </w:tc>
        <w:tc>
          <w:tcPr/>
          <w:p>
            <w:pPr>
              <w:pStyle w:val="Compact"/>
              <w:jc w:val="left"/>
            </w:pPr>
            <w:r>
              <w:t xml:space="preserve">8.4</w:t>
            </w:r>
          </w:p>
        </w:tc>
        <w:tc>
          <w:tcPr/>
          <w:p>
            <w:pPr>
              <w:pStyle w:val="Compact"/>
              <w:jc w:val="left"/>
            </w:pPr>
            <w:r>
              <w:t xml:space="preserve">8.4</w:t>
            </w:r>
          </w:p>
        </w:tc>
        <w:tc>
          <w:tcPr/>
          <w:p>
            <w:pPr>
              <w:pStyle w:val="Compact"/>
              <w:jc w:val="left"/>
            </w:pPr>
            <w:r>
              <w:t xml:space="preserve">8.6</w:t>
            </w:r>
          </w:p>
        </w:tc>
        <w:tc>
          <w:tcPr/>
          <w:p>
            <w:pPr>
              <w:pStyle w:val="Compact"/>
            </w:pPr>
          </w:p>
        </w:tc>
        <w:tc>
          <w:tcPr/>
          <w:p>
            <w:pPr>
              <w:pStyle w:val="Compact"/>
            </w:pPr>
          </w:p>
        </w:tc>
      </w:tr>
    </w:tbl>
    <w:p>
      <w:pPr>
        <w:pStyle w:val="BodyText"/>
      </w:pPr>
      <w:r>
        <w:br/>
      </w:r>
    </w:p>
    <w:p>
      <w:pPr>
        <w:pStyle w:val="BodyText"/>
      </w:pPr>
      <w:r>
        <w:br/>
      </w:r>
      <w:r>
        <w:t xml:space="preserve">With the list organized, you can more easily:</w:t>
      </w:r>
    </w:p>
    <w:p>
      <w:pPr>
        <w:numPr>
          <w:ilvl w:val="0"/>
          <w:numId w:val="1003"/>
        </w:numPr>
        <w:pStyle w:val="Compact"/>
      </w:pPr>
      <w:r>
        <w:t xml:space="preserve">interpret the data</w:t>
      </w:r>
    </w:p>
    <w:p>
      <w:pPr>
        <w:numPr>
          <w:ilvl w:val="0"/>
          <w:numId w:val="1003"/>
        </w:numPr>
        <w:pStyle w:val="Compact"/>
      </w:pPr>
      <w:r>
        <w:t xml:space="preserve">calculate the values of the five-number summary</w:t>
      </w:r>
    </w:p>
    <w:p>
      <w:pPr>
        <w:numPr>
          <w:ilvl w:val="0"/>
          <w:numId w:val="1003"/>
        </w:numPr>
        <w:pStyle w:val="Compact"/>
      </w:pPr>
      <w:r>
        <w:t xml:space="preserve">estimate or calculate the mean</w:t>
      </w:r>
    </w:p>
    <w:p>
      <w:pPr>
        <w:numPr>
          <w:ilvl w:val="0"/>
          <w:numId w:val="1003"/>
        </w:numPr>
        <w:pStyle w:val="Compact"/>
      </w:pPr>
      <w:r>
        <w:t xml:space="preserve">create a dot plot, box plot, or histogram</w:t>
      </w:r>
    </w:p>
    <w:p>
      <w:pPr>
        <w:pStyle w:val="FirstParagraph"/>
      </w:pPr>
      <w:r>
        <w:t xml:space="preserve">Here is a dot plot and histogram representing the distribution of the data in the list.</w:t>
      </w:r>
    </w:p>
    <w:p>
      <w:pPr>
        <w:pStyle w:val="BodyText"/>
      </w:pPr>
      <w:r>
        <w:drawing>
          <wp:inline>
            <wp:extent cx="2617470" cy="695035"/>
            <wp:effectExtent b="0" l="0" r="0" t="0"/>
            <wp:docPr descr="Dot plot from 5.5 to 9 by 0.5’s. pH. Beginning at 5.5 up to but not including 6, number of dots in each interval is 2, 2, 5, 8, 6, 6, 1, 0." title="" id="31" name="Picture"/>
            <a:graphic>
              <a:graphicData uri="http://schemas.openxmlformats.org/drawingml/2006/picture">
                <pic:pic>
                  <pic:nvPicPr>
                    <pic:cNvPr descr="/app/tmp/embedder-1670992932.885223.png" id="32" name="Picture"/>
                    <pic:cNvPicPr>
                      <a:picLocks noChangeArrowheads="1" noChangeAspect="1"/>
                    </pic:cNvPicPr>
                  </pic:nvPicPr>
                  <pic:blipFill>
                    <a:blip r:embed="rId30"/>
                    <a:stretch>
                      <a:fillRect/>
                    </a:stretch>
                  </pic:blipFill>
                  <pic:spPr bwMode="auto">
                    <a:xfrm>
                      <a:off x="0" y="0"/>
                      <a:ext cx="2617470" cy="695035"/>
                    </a:xfrm>
                    <a:prstGeom prst="rect">
                      <a:avLst/>
                    </a:prstGeom>
                    <a:noFill/>
                    <a:ln w="9525">
                      <a:noFill/>
                      <a:headEnd/>
                      <a:tailEnd/>
                    </a:ln>
                  </pic:spPr>
                </pic:pic>
              </a:graphicData>
            </a:graphic>
          </wp:inline>
        </w:drawing>
      </w:r>
    </w:p>
    <w:p>
      <w:pPr>
        <w:pStyle w:val="BodyText"/>
      </w:pPr>
      <w:r>
        <w:drawing>
          <wp:inline>
            <wp:extent cx="2701607" cy="2659430"/>
            <wp:effectExtent b="0" l="0" r="0" t="0"/>
            <wp:docPr descr="Histogram from 5.5 to 9 by 0.5’s. pH. Beginning at 5.5 up to but not including 6, height of bar at each interval is 2, 2, 5, 8, 6, 6, 1." title="" id="34" name="Picture"/>
            <a:graphic>
              <a:graphicData uri="http://schemas.openxmlformats.org/drawingml/2006/picture">
                <pic:pic>
                  <pic:nvPicPr>
                    <pic:cNvPr descr="/app/tmp/embedder-1670992932.9544673.png" id="35" name="Picture"/>
                    <pic:cNvPicPr>
                      <a:picLocks noChangeArrowheads="1" noChangeAspect="1"/>
                    </pic:cNvPicPr>
                  </pic:nvPicPr>
                  <pic:blipFill>
                    <a:blip r:embed="rId33"/>
                    <a:stretch>
                      <a:fillRect/>
                    </a:stretch>
                  </pic:blipFill>
                  <pic:spPr bwMode="auto">
                    <a:xfrm>
                      <a:off x="0" y="0"/>
                      <a:ext cx="2701607" cy="2659430"/>
                    </a:xfrm>
                    <a:prstGeom prst="rect">
                      <a:avLst/>
                    </a:prstGeom>
                    <a:noFill/>
                    <a:ln w="9525">
                      <a:noFill/>
                      <a:headEnd/>
                      <a:tailEnd/>
                    </a:ln>
                  </pic:spPr>
                </pic:pic>
              </a:graphicData>
            </a:graphic>
          </wp:inline>
        </w:drawing>
      </w:r>
    </w:p>
    <w:p>
      <w:pPr>
        <w:pStyle w:val="BodyText"/>
      </w:pPr>
      <w:r>
        <w:t xml:space="preserve">A dot plot is created by putting a dot for each value above the position on a number line. For the pH dot plot, there are 2 water samples with a pH of 6.5 and 1 water sample with a pH of 7. A histogram is made by counting the number of values from the data set in a certain interval and drawing a bar over that interval at a height that matches the count. In the pH histogram, there are 5 water samples that have a pH between 6.5 and 7 (including 6.5, but not 7). Here is a box plot representing the distribution of the same data as the dot plot and histogram.</w:t>
      </w:r>
    </w:p>
    <w:p>
      <w:pPr>
        <w:pStyle w:val="BodyText"/>
      </w:pPr>
      <w:r>
        <w:drawing>
          <wp:inline>
            <wp:extent cx="2617470" cy="898631"/>
            <wp:effectExtent b="0" l="0" r="0" t="0"/>
            <wp:docPr descr="Box plot from 5 point 5 to 9 by point 5’s. pH. Whisker from 5 point 8 to 6 point 8. Box from 6 point 8 to 7 point 9 with vertical line at 7 point 35. Whisker from 7 point 9 to 8 point 6." title="" id="37" name="Picture"/>
            <a:graphic>
              <a:graphicData uri="http://schemas.openxmlformats.org/drawingml/2006/picture">
                <pic:pic>
                  <pic:nvPicPr>
                    <pic:cNvPr descr="/app/tmp/embedder-1670992933.0356636.png" id="38" name="Picture"/>
                    <pic:cNvPicPr>
                      <a:picLocks noChangeArrowheads="1" noChangeAspect="1"/>
                    </pic:cNvPicPr>
                  </pic:nvPicPr>
                  <pic:blipFill>
                    <a:blip r:embed="rId36"/>
                    <a:stretch>
                      <a:fillRect/>
                    </a:stretch>
                  </pic:blipFill>
                  <pic:spPr bwMode="auto">
                    <a:xfrm>
                      <a:off x="0" y="0"/>
                      <a:ext cx="2617470" cy="898631"/>
                    </a:xfrm>
                    <a:prstGeom prst="rect">
                      <a:avLst/>
                    </a:prstGeom>
                    <a:noFill/>
                    <a:ln w="9525">
                      <a:noFill/>
                      <a:headEnd/>
                      <a:tailEnd/>
                    </a:ln>
                  </pic:spPr>
                </pic:pic>
              </a:graphicData>
            </a:graphic>
          </wp:inline>
        </w:drawing>
      </w:r>
    </w:p>
    <w:p>
      <w:pPr>
        <w:pStyle w:val="BodyText"/>
      </w:pPr>
      <w:r>
        <w:t xml:space="preserve">To create a box plot, you need to find the minimum, first quartile, median, third quartile, and maximum values for the data set. These 5 values are sometimes called the</w:t>
      </w:r>
      <w:r>
        <w:t xml:space="preserve"> </w:t>
      </w:r>
      <w:r>
        <w:rPr>
          <w:iCs/>
          <w:i/>
        </w:rPr>
        <w:t xml:space="preserve">five-number summary</w:t>
      </w:r>
      <w:r>
        <w:t xml:space="preserve">. Drawing a vertical mark and then connecting the pieces as in the example creates the box plot. For the pH box plot, we can see that the minimum is about 5.8, the median is about 7.4, and the third quartile is around 7.9.</w:t>
      </w:r>
    </w:p>
    <w:p>
      <w:pPr>
        <w:pStyle w:val="BodyText"/>
      </w:pPr>
      <w:r>
        <w:drawing>
          <wp:inline>
            <wp:extent cx="762000" cy="266700"/>
            <wp:effectExtent b="0" l="0" r="0" t="0"/>
            <wp:docPr descr="" title="" id="40" name="Picture"/>
            <a:graphic>
              <a:graphicData uri="http://schemas.openxmlformats.org/drawingml/2006/picture">
                <pic:pic>
                  <pic:nvPicPr>
                    <pic:cNvPr descr="/app/app/assets/images/export/ccby_logo_small.png" id="41" name="Picture"/>
                    <pic:cNvPicPr>
                      <a:picLocks noChangeArrowheads="1" noChangeAspect="1"/>
                    </pic:cNvPicPr>
                  </pic:nvPicPr>
                  <pic:blipFill>
                    <a:blip r:embed="rId3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9" Target="media/rId39.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2022-12-14T04:42:13Z</dcterms:created>
  <dcterms:modified xsi:type="dcterms:W3CDTF">2022-12-14T04:42:13Z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Hgf0sN47A/FwC2q2u8W7Ae9lMDAQiSDT5rrIUgrsNk86A7HpsrP7rLXvyajqoZdp1o1JtgQDfchjMC0ifuM1Eg==</vt:lpwstr>
  </property>
</Properties>
</file>