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028e17d6cf137bc9bf24fea0541e51d509dfcbe"/>
    <w:p>
      <w:pPr>
        <w:pStyle w:val="Heading1"/>
      </w:pPr>
      <w:r>
        <w:t xml:space="preserve">Lesson 10: Representemos el volumen con expresiones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5.MD.C.5, 5.MD.C.5.c, 5.OA.A.1, 5.OA.A.2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Write and interpret numerical expressions to represent the volume of a figure decomposed in different ways.</w:t>
      </w:r>
    </w:p>
    <w:bookmarkEnd w:id="24"/>
    <w:bookmarkStart w:id="25" w:name="student-facing-learning-goals"/>
    <w:p>
      <w:pPr>
        <w:pStyle w:val="Heading3"/>
      </w:pPr>
      <w:r>
        <w:t xml:space="preserve">Student-facing Learning Goals</w:t>
      </w:r>
    </w:p>
    <w:p>
      <w:pPr>
        <w:numPr>
          <w:ilvl w:val="0"/>
          <w:numId w:val="1002"/>
        </w:numPr>
        <w:pStyle w:val="Compact"/>
      </w:pPr>
      <w:r>
        <w:t xml:space="preserve">Escribamos expresiones para el volumen de figuras.</w:t>
      </w:r>
    </w:p>
    <w:bookmarkEnd w:id="25"/>
    <w:bookmarkStart w:id="26" w:name="lesson-purpose"/>
    <w:p>
      <w:pPr>
        <w:pStyle w:val="Heading3"/>
      </w:pPr>
      <w:r>
        <w:t xml:space="preserve">Lesson Purpose</w:t>
      </w:r>
    </w:p>
    <w:p>
      <w:pPr>
        <w:pStyle w:val="FirstParagraph"/>
      </w:pPr>
      <w:r>
        <w:t xml:space="preserve">The purpose of this lesson is for students to write, interpret, and evaluate numerical expressions that represent the volume of solid figures composed of two right rectangular prisms.</w:t>
      </w:r>
    </w:p>
    <w:p>
      <w:pPr>
        <w:pStyle w:val="BodyText"/>
      </w:pPr>
      <w:r>
        <w:t xml:space="preserve">In previous lessons, students used formulas to find the volume of right rectangular prisms. They also learned to apply these formulas to find the volumes of figures made up of two non-overlapping right rectangular prisms. In this lesson, students use what they have learned to write and interpret numerical expressions in the context of finding the volume of figures composed of rectangular prisms (MP2).</w:t>
      </w:r>
      <w:r>
        <w:br/>
      </w:r>
      <w:r>
        <w:t xml:space="preserve">Students recognize that subtraction can be used to find the volume of figures composed of two non-overlapping rectangular prisms.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5 Practices (Activity 2), 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did the work of the previous sections in the unit lay the foundation for students to be successful in this lesson?</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Expresiones como volumen</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5.MD.C.5.c, 5.OA.A.2</w:t>
            </w:r>
          </w:p>
        </w:tc>
      </w:tr>
    </w:tbl>
    <w:bookmarkEnd w:id="43"/>
    <w:bookmarkStart w:id="47" w:name="student-facing-task-statement"/>
    <w:p>
      <w:pPr>
        <w:pStyle w:val="Heading3"/>
      </w:pPr>
      <w:r>
        <w:t xml:space="preserve">Student-facing Task Statement</w:t>
      </w:r>
    </w:p>
    <w:p>
      <w:pPr>
        <w:pStyle w:val="FirstParagraph"/>
      </w:pPr>
      <w:r>
        <w:drawing>
          <wp:inline>
            <wp:extent cx="2971800" cy="3246120"/>
            <wp:effectExtent b="0" l="0" r="0" t="0"/>
            <wp:docPr descr="6-sided rectangular prism." title="" id="45" name="Picture"/>
            <a:graphic>
              <a:graphicData uri="http://schemas.openxmlformats.org/drawingml/2006/picture">
                <pic:pic>
                  <pic:nvPicPr>
                    <pic:cNvPr descr="/app/tmp/embedder-1671065155.7696512.png" id="46" name="Picture"/>
                    <pic:cNvPicPr>
                      <a:picLocks noChangeArrowheads="1" noChangeAspect="1"/>
                    </pic:cNvPicPr>
                  </pic:nvPicPr>
                  <pic:blipFill>
                    <a:blip r:embed="rId44"/>
                    <a:stretch>
                      <a:fillRect/>
                    </a:stretch>
                  </pic:blipFill>
                  <pic:spPr bwMode="auto">
                    <a:xfrm>
                      <a:off x="0" y="0"/>
                      <a:ext cx="2971800" cy="3246120"/>
                    </a:xfrm>
                    <a:prstGeom prst="rect">
                      <a:avLst/>
                    </a:prstGeom>
                    <a:noFill/>
                    <a:ln w="9525">
                      <a:noFill/>
                      <a:headEnd/>
                      <a:tailEnd/>
                    </a:ln>
                  </pic:spPr>
                </pic:pic>
              </a:graphicData>
            </a:graphic>
          </wp:inline>
        </w:drawing>
      </w:r>
    </w:p>
    <w:p>
      <w:pPr>
        <w:numPr>
          <w:ilvl w:val="0"/>
          <w:numId w:val="1005"/>
        </w:numPr>
        <w:pStyle w:val="Compact"/>
      </w:pPr>
      <w:r>
        <w:t xml:space="preserve">Escribe una expresión para representar el volumen de la figura, en pies cúbicos.</w:t>
      </w:r>
    </w:p>
    <w:p>
      <w:pPr>
        <w:numPr>
          <w:ilvl w:val="0"/>
          <w:numId w:val="1005"/>
        </w:numPr>
        <w:pStyle w:val="Compact"/>
      </w:pPr>
      <w:r>
        <w:t xml:space="preserve">Encuentra el volumen de la figura.</w:t>
      </w:r>
    </w:p>
    <w:bookmarkEnd w:id="47"/>
    <w:bookmarkStart w:id="48" w:name="student-responses"/>
    <w:p>
      <w:pPr>
        <w:pStyle w:val="Heading3"/>
      </w:pPr>
      <w:r>
        <w:t xml:space="preserve">Student Responses</w:t>
      </w:r>
    </w:p>
    <w:p>
      <w:pPr>
        <w:numPr>
          <w:ilvl w:val="0"/>
          <w:numId w:val="1006"/>
        </w:numPr>
        <w:pStyle w:val="Compact"/>
      </w:pPr>
      <m:oMath>
        <m:d>
          <m:dPr>
            <m:begChr m:val="("/>
            <m:endChr m:val=")"/>
            <m:sepChr m:val=""/>
            <m:grow/>
          </m:dPr>
          <m:e>
            <m:r>
              <m:t>4</m:t>
            </m:r>
            <m:r>
              <m:rPr>
                <m:sty m:val="p"/>
              </m:rPr>
              <m:t>×</m:t>
            </m:r>
            <m:r>
              <m:t>8</m:t>
            </m:r>
            <m:r>
              <m:rPr>
                <m:sty m:val="p"/>
              </m:rPr>
              <m:t>×</m:t>
            </m:r>
            <m:r>
              <m:t>2</m:t>
            </m:r>
          </m:e>
        </m:d>
        <m:r>
          <m:rPr>
            <m:sty m:val="p"/>
          </m:rPr>
          <m:t>+</m:t>
        </m:r>
        <m:d>
          <m:dPr>
            <m:begChr m:val="("/>
            <m:endChr m:val=")"/>
            <m:sepChr m:val=""/>
            <m:grow/>
          </m:dPr>
          <m:e>
            <m:r>
              <m:t>2</m:t>
            </m:r>
            <m:r>
              <m:rPr>
                <m:sty m:val="p"/>
              </m:rPr>
              <m:t>×</m:t>
            </m:r>
            <m:r>
              <m:t>3</m:t>
            </m:r>
            <m:r>
              <m:rPr>
                <m:sty m:val="p"/>
              </m:rPr>
              <m:t>×</m:t>
            </m:r>
            <m:r>
              <m:t>2</m:t>
            </m:r>
          </m:e>
        </m:d>
      </m:oMath>
      <w:r>
        <w:t xml:space="preserve"> </w:t>
      </w:r>
      <w:r>
        <w:t xml:space="preserve">or</w:t>
      </w:r>
      <w:r>
        <w:t xml:space="preserve"> </w:t>
      </w:r>
      <m:oMath>
        <m:d>
          <m:dPr>
            <m:begChr m:val="("/>
            <m:endChr m:val=")"/>
            <m:sepChr m:val=""/>
            <m:grow/>
          </m:dPr>
          <m:e>
            <m:r>
              <m:t>4</m:t>
            </m:r>
            <m:r>
              <m:rPr>
                <m:sty m:val="p"/>
              </m:rPr>
              <m:t>×</m:t>
            </m:r>
            <m:r>
              <m:t>5</m:t>
            </m:r>
            <m:r>
              <m:rPr>
                <m:sty m:val="p"/>
              </m:rPr>
              <m:t>×</m:t>
            </m:r>
            <m:r>
              <m:t>2</m:t>
            </m:r>
          </m:e>
        </m:d>
        <m:r>
          <m:rPr>
            <m:sty m:val="p"/>
          </m:rPr>
          <m:t>+</m:t>
        </m:r>
        <m:d>
          <m:dPr>
            <m:begChr m:val="("/>
            <m:endChr m:val=")"/>
            <m:sepChr m:val=""/>
            <m:grow/>
          </m:dPr>
          <m:e>
            <m:r>
              <m:t>6</m:t>
            </m:r>
            <m:r>
              <m:rPr>
                <m:sty m:val="p"/>
              </m:rPr>
              <m:t>×</m:t>
            </m:r>
            <m:r>
              <m:t>3</m:t>
            </m:r>
            <m:r>
              <m:rPr>
                <m:sty m:val="p"/>
              </m:rPr>
              <m:t>×</m:t>
            </m:r>
            <m:r>
              <m:t>2</m:t>
            </m:r>
          </m:e>
        </m:d>
      </m:oMath>
      <w:r>
        <w:t xml:space="preserve"> </w:t>
      </w:r>
      <w:r>
        <w:t xml:space="preserve">(or equivalent)</w:t>
      </w:r>
    </w:p>
    <w:p>
      <w:pPr>
        <w:numPr>
          <w:ilvl w:val="0"/>
          <w:numId w:val="1006"/>
        </w:numPr>
        <w:pStyle w:val="Compact"/>
      </w:pPr>
      <w:r>
        <w:t xml:space="preserve">76 cubic feet</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2022-12-15T00:45:56Z</dcterms:created>
  <dcterms:modified xsi:type="dcterms:W3CDTF">2022-12-15T00:45:56Z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OLrVO7BqL+zY+28AWO5HQNmpB2Nrr9WgbqoSGvLvKTUcvpBi3OLXsR0fzB4Jimso4EF+5X8liLvrIPdqhuAqaA==</vt:lpwstr>
  </property>
</Properties>
</file>