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7-día-3-de-centros"/>
    <w:p>
      <w:pPr>
        <w:pStyle w:val="Heading1"/>
      </w:pPr>
      <w:r>
        <w:t xml:space="preserve">Lesson 17: Día 3 de centros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 1.G.A.2, 1.MD.B.3, 1.NBT.C.4,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100.</w:t>
      </w:r>
    </w:p>
    <w:p>
      <w:pPr>
        <w:numPr>
          <w:ilvl w:val="0"/>
          <w:numId w:val="1001"/>
        </w:numPr>
        <w:pStyle w:val="Compact"/>
      </w:pPr>
      <w:r>
        <w:t xml:space="preserve">Describe two-dimensional and three-dimensional shapes.</w:t>
      </w:r>
    </w:p>
    <w:p>
      <w:pPr>
        <w:numPr>
          <w:ilvl w:val="0"/>
          <w:numId w:val="1001"/>
        </w:numPr>
        <w:pStyle w:val="Compact"/>
      </w:pPr>
      <w:r>
        <w:t xml:space="preserve">Subtract within 10.</w:t>
      </w:r>
    </w:p>
    <w:bookmarkEnd w:id="24"/>
    <w:bookmarkStart w:id="25" w:name="student-facing-learning-goals"/>
    <w:p>
      <w:pPr>
        <w:pStyle w:val="Heading3"/>
      </w:pPr>
      <w:r>
        <w:t xml:space="preserve">Student-facing Learning Goals</w:t>
      </w:r>
    </w:p>
    <w:p>
      <w:pPr>
        <w:numPr>
          <w:ilvl w:val="0"/>
          <w:numId w:val="1002"/>
        </w:numPr>
        <w:pStyle w:val="Compact"/>
      </w:pPr>
      <w:r>
        <w:t xml:space="preserve">Trabajemos con figuras y números.</w:t>
      </w:r>
    </w:p>
    <w:bookmarkEnd w:id="25"/>
    <w:bookmarkStart w:id="26" w:name="lesson-purpose"/>
    <w:p>
      <w:pPr>
        <w:pStyle w:val="Heading3"/>
      </w:pPr>
      <w:r>
        <w:t xml:space="preserve">Lesson Purpose</w:t>
      </w:r>
    </w:p>
    <w:p>
      <w:pPr>
        <w:pStyle w:val="FirstParagraph"/>
      </w:pPr>
      <w:r>
        <w:t xml:space="preserve">The purpose of this lesson is for students to work with shapes and addition and subtraction.</w:t>
      </w:r>
    </w:p>
    <w:p>
      <w:pPr>
        <w:pStyle w:val="BodyText"/>
      </w:pPr>
      <w:r>
        <w:t xml:space="preserve">In the first activity, students learn stage 2 of the Which One center, which was first introduced in kindergarten. In this new stage, students ask yes or no questions about shapes in order to identify the shape their partner chose. In the second activity, students choose from previously introduced centers focused on shapes or addition and subtraction.</w:t>
      </w:r>
    </w:p>
    <w:bookmarkEnd w:id="26"/>
    <w:bookmarkStart w:id="27" w:name="instructional-routines"/>
    <w:p>
      <w:pPr>
        <w:pStyle w:val="Heading3"/>
      </w:pPr>
      <w:r>
        <w:t xml:space="preserve">Instructional Routines</w:t>
      </w:r>
    </w:p>
    <w:p>
      <w:pPr>
        <w:pStyle w:val="FirstParagraph"/>
      </w:pPr>
      <w:r>
        <w:t xml:space="preserve">Which One Doesn’t Belong?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p>
      <w:pPr>
        <w:numPr>
          <w:ilvl w:val="0"/>
          <w:numId w:val="1003"/>
        </w:numPr>
        <w:pStyle w:val="Compact"/>
      </w:pPr>
      <w:r>
        <w:t xml:space="preserve">Two-color counters: Activity 1</w:t>
      </w:r>
    </w:p>
    <w:bookmarkEnd w:id="28"/>
    <w:bookmarkStart w:id="29" w:name="materials-to-copy"/>
    <w:p>
      <w:pPr>
        <w:pStyle w:val="Heading3"/>
      </w:pPr>
      <w:r>
        <w:t xml:space="preserve">Materials to Copy</w:t>
      </w:r>
    </w:p>
    <w:p>
      <w:pPr>
        <w:numPr>
          <w:ilvl w:val="0"/>
          <w:numId w:val="1004"/>
        </w:numPr>
        <w:pStyle w:val="Compact"/>
      </w:pPr>
      <w:r>
        <w:t xml:space="preserve">Which One Stage 2 Gameboard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 </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2022-12-14T23:16:07Z</dcterms:created>
  <dcterms:modified xsi:type="dcterms:W3CDTF">2022-12-14T23:16:07Z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A59HyzwO0BGI4WOceWUsGpMYfpprEGg/2ti4OGvR1qEnmwKSUIYoTE0FwIIoAQByqvAHHH+aNSRfUl1IH97V/A==</vt:lpwstr>
  </property>
</Properties>
</file>