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3.xml" ContentType="application/vnd.openxmlformats-officedocument.wordprocessingml.head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media/rId31.png" ContentType="image/png"/>
  <Override PartName="/word/media/rId21.png" ContentType="image/png"/>
  <Override PartName="/word/media/rId28.png" ContentType="image/png"/>
  <Override PartName="/word/media/image1.png" ContentType="image/png"/>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0" w:name="lesson-4-ratios-in-right-triangles"/>
    <w:p>
      <w:pPr>
        <w:pStyle w:val="Heading2"/>
      </w:pPr>
      <w:r>
        <w:t xml:space="preserve">Lesson 4: Ratios in Right Triangles</w:t>
      </w:r>
    </w:p>
    <w:bookmarkEnd w:id="20"/>
    <w:p>
      <w:pPr>
        <w:numPr>
          <w:ilvl w:val="0"/>
          <w:numId w:val="1001"/>
        </w:numPr>
        <w:pStyle w:val="Compact"/>
      </w:pPr>
      <w:r>
        <w:t xml:space="preserve">Let’s investigate ratios in the side lengths of right triangles.</w:t>
      </w:r>
    </w:p>
    <w:bookmarkStart w:id="24" w:name="ratio-rivalry"/>
    <w:p>
      <w:pPr>
        <w:pStyle w:val="Heading3"/>
      </w:pPr>
      <w:r>
        <w:t xml:space="preserve">4.1: Ratio Rivalry</w:t>
      </w:r>
    </w:p>
    <w:p>
      <w:pPr>
        <w:pStyle w:val="FirstParagraph"/>
      </w:pPr>
      <w:r>
        <w:drawing>
          <wp:inline>
            <wp:extent cx="4457700" cy="1371600"/>
            <wp:effectExtent b="0" l="0" r="0" t="0"/>
            <wp:docPr descr="2 similar right triangles. Base angles = 20 degrees. Triangle on left, height = a, hypotenuse = c. Triangle on right, height = b, hypotenuse =d. " title="" id="22" name="Picture"/>
            <a:graphic>
              <a:graphicData uri="http://schemas.openxmlformats.org/drawingml/2006/picture">
                <pic:pic>
                  <pic:nvPicPr>
                    <pic:cNvPr descr="/app/tmp/embedder-1670997620.9154105.png" id="23" name="Picture"/>
                    <pic:cNvPicPr>
                      <a:picLocks noChangeArrowheads="1" noChangeAspect="1"/>
                    </pic:cNvPicPr>
                  </pic:nvPicPr>
                  <pic:blipFill>
                    <a:blip r:embed="rId21"/>
                    <a:stretch>
                      <a:fillRect/>
                    </a:stretch>
                  </pic:blipFill>
                  <pic:spPr bwMode="auto">
                    <a:xfrm>
                      <a:off x="0" y="0"/>
                      <a:ext cx="4457700" cy="1371600"/>
                    </a:xfrm>
                    <a:prstGeom prst="rect">
                      <a:avLst/>
                    </a:prstGeom>
                    <a:noFill/>
                    <a:ln w="9525">
                      <a:noFill/>
                      <a:headEnd/>
                      <a:tailEnd/>
                    </a:ln>
                  </pic:spPr>
                </pic:pic>
              </a:graphicData>
            </a:graphic>
          </wp:inline>
        </w:drawing>
      </w:r>
    </w:p>
    <w:p>
      <w:pPr>
        <w:pStyle w:val="BodyText"/>
      </w:pPr>
      <w:r>
        <w:t xml:space="preserve">Consider</w:t>
      </w:r>
      <w:r>
        <w:t xml:space="preserve"> </w:t>
      </w:r>
      <m:oMath>
        <m:f>
          <m:fPr>
            <m:type m:val="bar"/>
          </m:fPr>
          <m:num>
            <m:r>
              <m:t>a</m:t>
            </m:r>
          </m:num>
          <m:den>
            <m:r>
              <m:t>c</m:t>
            </m:r>
          </m:den>
        </m:f>
        <m:r>
          <m:rPr>
            <m:nor/>
            <m:sty m:val="p"/>
          </m:rPr>
          <m:t> and </m:t>
        </m:r>
        <m:f>
          <m:fPr>
            <m:type m:val="bar"/>
          </m:fPr>
          <m:num>
            <m:r>
              <m:t>b</m:t>
            </m:r>
          </m:num>
          <m:den>
            <m:r>
              <m:t>d</m:t>
            </m:r>
          </m:den>
        </m:f>
      </m:oMath>
      <w:r>
        <w:t xml:space="preserve">. Which is greater, or are they equal? Explain how you know.</w:t>
      </w:r>
    </w:p>
    <w:bookmarkEnd w:id="24"/>
    <w:bookmarkStart w:id="25" w:name="tons-of-triangles"/>
    <w:p>
      <w:pPr>
        <w:pStyle w:val="Heading3"/>
      </w:pPr>
      <w:r>
        <w:t xml:space="preserve">4.2: Tons of Triangles</w:t>
      </w:r>
    </w:p>
    <w:p>
      <w:pPr>
        <w:pStyle w:val="FirstParagraph"/>
      </w:pPr>
      <w:r>
        <w:t xml:space="preserve">Your teacher will give you some angles.</w:t>
      </w:r>
    </w:p>
    <w:p>
      <w:pPr>
        <w:numPr>
          <w:ilvl w:val="0"/>
          <w:numId w:val="1002"/>
        </w:numPr>
        <w:pStyle w:val="Compact"/>
      </w:pPr>
      <w:r>
        <w:t xml:space="preserve">Draw several right triangles using the angles you receive.</w:t>
      </w:r>
    </w:p>
    <w:p>
      <w:pPr>
        <w:numPr>
          <w:ilvl w:val="0"/>
          <w:numId w:val="1002"/>
        </w:numPr>
        <w:pStyle w:val="Compact"/>
      </w:pPr>
      <w:r>
        <w:t xml:space="preserve">Precisely measure the side lengths of the triangles.</w:t>
      </w:r>
    </w:p>
    <w:p>
      <w:pPr>
        <w:numPr>
          <w:ilvl w:val="0"/>
          <w:numId w:val="1002"/>
        </w:numPr>
        <w:pStyle w:val="Compact"/>
      </w:pPr>
      <w:r>
        <w:t xml:space="preserve">Complete the tables by computing 3 quotients for the acute angles in each triangle:</w:t>
      </w:r>
    </w:p>
    <w:p>
      <w:pPr>
        <w:numPr>
          <w:ilvl w:val="1"/>
          <w:numId w:val="1003"/>
        </w:numPr>
        <w:pStyle w:val="Compact"/>
      </w:pPr>
      <w:r>
        <w:t xml:space="preserve">The length of the leg adjacent to your angle divided by the length of the hypotenuse</w:t>
      </w:r>
    </w:p>
    <w:p>
      <w:pPr>
        <w:numPr>
          <w:ilvl w:val="1"/>
          <w:numId w:val="1003"/>
        </w:numPr>
        <w:pStyle w:val="Compact"/>
      </w:pPr>
      <w:r>
        <w:t xml:space="preserve">The length of the leg opposite from your angle divided by the length of the hypotenuse</w:t>
      </w:r>
    </w:p>
    <w:p>
      <w:pPr>
        <w:numPr>
          <w:ilvl w:val="1"/>
          <w:numId w:val="1003"/>
        </w:numPr>
        <w:pStyle w:val="Compact"/>
      </w:pPr>
      <w:r>
        <w:t xml:space="preserve">The length of the leg opposite from your angle divided by the length of the leg adjacent to your angle</w:t>
      </w:r>
    </w:p>
    <w:p>
      <w:pPr>
        <w:numPr>
          <w:ilvl w:val="0"/>
          <w:numId w:val="1002"/>
        </w:numPr>
        <w:pStyle w:val="Compact"/>
      </w:pPr>
      <w:r>
        <w:t xml:space="preserve">Find the mean of each column in your table.</w:t>
      </w:r>
    </w:p>
    <w:p>
      <w:pPr>
        <w:numPr>
          <w:ilvl w:val="0"/>
          <w:numId w:val="1002"/>
        </w:numPr>
        <w:pStyle w:val="Compact"/>
      </w:pPr>
      <w:r>
        <w:t xml:space="preserve">What do you notice about your table? What do you wonder about your table?</w:t>
      </w:r>
    </w:p>
    <w:bookmarkEnd w:id="25"/>
    <w:bookmarkStart w:id="27" w:name="tons-of-ratios"/>
    <w:p>
      <w:pPr>
        <w:pStyle w:val="Heading3"/>
      </w:pPr>
      <w:r>
        <w:t xml:space="preserve">4.3: Tons of Ratios</w:t>
      </w:r>
    </w:p>
    <w:p>
      <w:pPr>
        <w:numPr>
          <w:ilvl w:val="0"/>
          <w:numId w:val="1004"/>
        </w:numPr>
        <w:pStyle w:val="Compact"/>
      </w:pPr>
      <w:r>
        <w:t xml:space="preserve">Compare the row for 20 degrees and the row for 70 degrees in the right triangle table. What is the same? What is different?</w:t>
      </w:r>
    </w:p>
    <w:p>
      <w:pPr>
        <w:numPr>
          <w:ilvl w:val="0"/>
          <w:numId w:val="1004"/>
        </w:numPr>
        <w:pStyle w:val="Compact"/>
      </w:pPr>
      <w:r>
        <w:t xml:space="preserve">The row for 55 degrees is given here. Complete the row for 35 degrees. </w:t>
      </w:r>
    </w:p>
    <w:tbl>
      <w:tblPr>
        <w:tblStyle w:val="Table"/>
        <w:tblW w:type="auto" w:w="0"/>
        <w:tblLook w:firstRow="1" w:lastRow="0" w:firstColumn="0" w:lastColumn="0" w:noHBand="0" w:noVBand="0" w:val="0020"/>
      </w:tblPr>
      <w:tblGrid>
        <w:gridCol w:w="1980"/>
        <w:gridCol w:w="1980"/>
        <w:gridCol w:w="1980"/>
        <w:gridCol w:w="1980"/>
      </w:tblGrid>
      <w:tr>
        <w:trPr>
          <w:tblHeader w:val="true"/>
        </w:trPr>
        <w:tc>
          <w:tcPr/>
          <w:p>
            <w:pPr>
              <w:numPr>
                <w:ilvl w:val="0"/>
                <w:numId w:val="1000"/>
              </w:numPr>
              <w:pStyle w:val="Compact"/>
              <w:jc w:val="left"/>
            </w:pPr>
            <w:r>
              <w:t xml:space="preserve">angle</w:t>
            </w:r>
          </w:p>
        </w:tc>
        <w:tc>
          <w:tcPr/>
          <w:p>
            <w:pPr>
              <w:numPr>
                <w:ilvl w:val="0"/>
                <w:numId w:val="1000"/>
              </w:numPr>
              <w:pStyle w:val="Compact"/>
              <w:jc w:val="left"/>
            </w:pPr>
            <w:r>
              <w:t xml:space="preserve">adjacent leg</w:t>
            </w:r>
            <w:r>
              <w:t xml:space="preserve"> </w:t>
            </w:r>
            <m:oMath>
              <m:r>
                <m:rPr>
                  <m:sty m:val="p"/>
                </m:rPr>
                <m:t>÷</m:t>
              </m:r>
            </m:oMath>
            <w:r>
              <w:t xml:space="preserve"> hypotenuse</w:t>
            </w:r>
          </w:p>
        </w:tc>
        <w:tc>
          <w:tcPr/>
          <w:p>
            <w:pPr>
              <w:numPr>
                <w:ilvl w:val="0"/>
                <w:numId w:val="1000"/>
              </w:numPr>
              <w:pStyle w:val="Compact"/>
              <w:jc w:val="left"/>
            </w:pPr>
            <w:r>
              <w:t xml:space="preserve">opposite leg</w:t>
            </w:r>
            <w:r>
              <w:t xml:space="preserve"> </w:t>
            </w:r>
            <m:oMath>
              <m:r>
                <m:rPr>
                  <m:sty m:val="p"/>
                </m:rPr>
                <m:t>÷</m:t>
              </m:r>
            </m:oMath>
            <w:r>
              <w:t xml:space="preserve"> hypotenuse</w:t>
            </w:r>
          </w:p>
        </w:tc>
        <w:tc>
          <w:tcPr/>
          <w:p>
            <w:pPr>
              <w:numPr>
                <w:ilvl w:val="0"/>
                <w:numId w:val="1000"/>
              </w:numPr>
              <w:pStyle w:val="Compact"/>
              <w:jc w:val="left"/>
            </w:pPr>
            <w:r>
              <w:t xml:space="preserve">opposite leg</w:t>
            </w:r>
            <w:r>
              <w:t xml:space="preserve"> </w:t>
            </w:r>
            <m:oMath>
              <m:r>
                <m:rPr>
                  <m:sty m:val="p"/>
                </m:rPr>
                <m:t>÷</m:t>
              </m:r>
            </m:oMath>
            <w:r>
              <w:t xml:space="preserve"> adjacent leg</w:t>
            </w:r>
          </w:p>
        </w:tc>
      </w:tr>
      <w:tr>
        <w:tc>
          <w:tcPr/>
          <w:p>
            <w:pPr>
              <w:numPr>
                <w:ilvl w:val="0"/>
                <w:numId w:val="1000"/>
              </w:numPr>
              <w:pStyle w:val="Compact"/>
              <w:jc w:val="left"/>
            </w:pPr>
            <m:oMath>
              <m:sSup>
                <m:e>
                  <m:r>
                    <m:t>35</m:t>
                  </m:r>
                </m:e>
                <m:sup>
                  <m:r>
                    <m:rPr>
                      <m:sty m:val="p"/>
                    </m:rPr>
                    <m:t>∘</m:t>
                  </m:r>
                </m:sup>
              </m:sSup>
            </m:oMath>
          </w:p>
        </w:tc>
        <w:tc>
          <w:tcPr/>
          <w:p>
            <w:pPr>
              <w:numPr>
                <w:ilvl w:val="0"/>
                <w:numId w:val="1000"/>
              </w:numPr>
              <w:pStyle w:val="Compact"/>
              <w:jc w:val="left"/>
            </w:pPr>
            <w:r>
              <w:t xml:space="preserve"> </w:t>
            </w:r>
          </w:p>
        </w:tc>
        <w:tc>
          <w:tcPr/>
          <w:p>
            <w:pPr>
              <w:numPr>
                <w:ilvl w:val="0"/>
                <w:numId w:val="1000"/>
              </w:numPr>
              <w:pStyle w:val="Compact"/>
              <w:jc w:val="left"/>
            </w:pPr>
            <w:r>
              <w:t xml:space="preserve"> </w:t>
            </w:r>
          </w:p>
        </w:tc>
        <w:tc>
          <w:tcPr/>
          <w:p>
            <w:pPr>
              <w:numPr>
                <w:ilvl w:val="0"/>
                <w:numId w:val="1000"/>
              </w:numPr>
              <w:pStyle w:val="Compact"/>
              <w:jc w:val="left"/>
            </w:pPr>
            <w:r>
              <w:t xml:space="preserve"> </w:t>
            </w:r>
          </w:p>
        </w:tc>
      </w:tr>
      <w:tr>
        <w:tc>
          <w:tcPr/>
          <w:p>
            <w:pPr>
              <w:numPr>
                <w:ilvl w:val="0"/>
                <w:numId w:val="1000"/>
              </w:numPr>
              <w:pStyle w:val="Compact"/>
              <w:jc w:val="left"/>
            </w:pPr>
            <m:oMath>
              <m:sSup>
                <m:e>
                  <m:r>
                    <m:t>55</m:t>
                  </m:r>
                </m:e>
                <m:sup>
                  <m:r>
                    <m:rPr>
                      <m:sty m:val="p"/>
                    </m:rPr>
                    <m:t>∘</m:t>
                  </m:r>
                </m:sup>
              </m:sSup>
            </m:oMath>
          </w:p>
        </w:tc>
        <w:tc>
          <w:tcPr/>
          <w:p>
            <w:pPr>
              <w:numPr>
                <w:ilvl w:val="0"/>
                <w:numId w:val="1000"/>
              </w:numPr>
              <w:pStyle w:val="Compact"/>
              <w:jc w:val="left"/>
            </w:pPr>
            <w:r>
              <w:t xml:space="preserve">0.574</w:t>
            </w:r>
          </w:p>
        </w:tc>
        <w:tc>
          <w:tcPr/>
          <w:p>
            <w:pPr>
              <w:numPr>
                <w:ilvl w:val="0"/>
                <w:numId w:val="1000"/>
              </w:numPr>
              <w:pStyle w:val="Compact"/>
              <w:jc w:val="left"/>
            </w:pPr>
            <w:r>
              <w:t xml:space="preserve">0.819</w:t>
            </w:r>
          </w:p>
        </w:tc>
        <w:tc>
          <w:tcPr/>
          <w:p>
            <w:pPr>
              <w:numPr>
                <w:ilvl w:val="0"/>
                <w:numId w:val="1000"/>
              </w:numPr>
              <w:pStyle w:val="Compact"/>
              <w:jc w:val="left"/>
            </w:pPr>
            <w:r>
              <w:t xml:space="preserve">1.428</w:t>
            </w:r>
          </w:p>
        </w:tc>
      </w:tr>
    </w:tbl>
    <w:p>
      <w:pPr>
        <w:numPr>
          <w:ilvl w:val="0"/>
          <w:numId w:val="1004"/>
        </w:numPr>
        <w:pStyle w:val="Compact"/>
      </w:pPr>
      <w:r>
        <w:t xml:space="preserve">What do you know about a triangle with an adjacent leg to hypotenuse ratio value of 0.839?</w:t>
      </w:r>
    </w:p>
    <w:bookmarkStart w:id="26" w:name="are-you-ready-for-more"/>
    <w:p>
      <w:pPr>
        <w:pStyle w:val="Heading4"/>
      </w:pPr>
      <w:r>
        <w:t xml:space="preserve">Are you ready for more?</w:t>
      </w:r>
    </w:p>
    <w:p>
      <w:pPr>
        <w:numPr>
          <w:ilvl w:val="0"/>
          <w:numId w:val="1005"/>
        </w:numPr>
        <w:pStyle w:val="Compact"/>
      </w:pPr>
      <w:r>
        <w:t xml:space="preserve">What is the range for the possible ratios of each of the following ratios?</w:t>
      </w:r>
    </w:p>
    <w:p>
      <w:pPr>
        <w:numPr>
          <w:ilvl w:val="1"/>
          <w:numId w:val="1006"/>
        </w:numPr>
        <w:pStyle w:val="Compact"/>
      </w:pPr>
      <w:r>
        <w:t xml:space="preserve">adjacent leg</w:t>
      </w:r>
      <w:r>
        <w:t xml:space="preserve"> </w:t>
      </w:r>
      <m:oMath>
        <m:r>
          <m:rPr>
            <m:sty m:val="p"/>
          </m:rPr>
          <m:t>÷</m:t>
        </m:r>
      </m:oMath>
      <w:r>
        <w:t xml:space="preserve"> </w:t>
      </w:r>
      <w:r>
        <w:t xml:space="preserve">hypotenuse</w:t>
      </w:r>
    </w:p>
    <w:p>
      <w:pPr>
        <w:numPr>
          <w:ilvl w:val="1"/>
          <w:numId w:val="1006"/>
        </w:numPr>
        <w:pStyle w:val="Compact"/>
      </w:pPr>
      <w:r>
        <w:t xml:space="preserve">opposite leg</w:t>
      </w:r>
      <w:r>
        <w:t xml:space="preserve"> </w:t>
      </w:r>
      <m:oMath>
        <m:r>
          <m:rPr>
            <m:sty m:val="p"/>
          </m:rPr>
          <m:t>÷</m:t>
        </m:r>
      </m:oMath>
      <w:r>
        <w:t xml:space="preserve"> </w:t>
      </w:r>
      <w:r>
        <w:t xml:space="preserve">hypotenuse</w:t>
      </w:r>
    </w:p>
    <w:p>
      <w:pPr>
        <w:numPr>
          <w:ilvl w:val="1"/>
          <w:numId w:val="1006"/>
        </w:numPr>
        <w:pStyle w:val="Compact"/>
      </w:pPr>
      <w:r>
        <w:t xml:space="preserve">opposite leg</w:t>
      </w:r>
      <w:r>
        <w:t xml:space="preserve"> </w:t>
      </w:r>
      <m:oMath>
        <m:r>
          <m:rPr>
            <m:sty m:val="p"/>
          </m:rPr>
          <m:t>÷</m:t>
        </m:r>
      </m:oMath>
      <w:r>
        <w:t xml:space="preserve"> </w:t>
      </w:r>
      <w:r>
        <w:t xml:space="preserve">adjacent leg</w:t>
      </w:r>
    </w:p>
    <w:p>
      <w:pPr>
        <w:numPr>
          <w:ilvl w:val="0"/>
          <w:numId w:val="1005"/>
        </w:numPr>
        <w:pStyle w:val="Compact"/>
      </w:pPr>
      <w:r>
        <w:t xml:space="preserve">What would the triangle look like if the adjacent leg</w:t>
      </w:r>
      <w:r>
        <w:t xml:space="preserve"> </w:t>
      </w:r>
      <m:oMath>
        <m:r>
          <m:rPr>
            <m:sty m:val="p"/>
          </m:rPr>
          <m:t>÷</m:t>
        </m:r>
      </m:oMath>
      <w:r>
        <w:t xml:space="preserve"> </w:t>
      </w:r>
      <w:r>
        <w:t xml:space="preserve">hypotenuse ratio was 1? Greater than 1?</w:t>
      </w:r>
    </w:p>
    <w:bookmarkEnd w:id="26"/>
    <w:bookmarkEnd w:id="27"/>
    <w:bookmarkStart w:id="34" w:name="lesson-4-summary"/>
    <w:p>
      <w:pPr>
        <w:pStyle w:val="Heading3"/>
      </w:pPr>
      <w:r>
        <w:t xml:space="preserve">Lesson 4 Summary</w:t>
      </w:r>
    </w:p>
    <w:p>
      <w:pPr>
        <w:pStyle w:val="FirstParagraph"/>
      </w:pPr>
      <w:r>
        <w:t xml:space="preserve">All right triangles that contain the same acute angles are similar to each other. This means that the ratios of corresponding side lengths are equal for all right triangles with the same acute angles.</w:t>
      </w:r>
    </w:p>
    <w:p>
      <w:pPr>
        <w:pStyle w:val="BodyText"/>
      </w:pPr>
      <w:r>
        <w:drawing>
          <wp:inline>
            <wp:extent cx="5943600" cy="1373802"/>
            <wp:effectExtent b="0" l="0" r="0" t="0"/>
            <wp:docPr descr="Three right triangles, On left triangle ABC, in middle triangle DEF, on right triangle LMN." title="" id="29" name="Picture"/>
            <a:graphic>
              <a:graphicData uri="http://schemas.openxmlformats.org/drawingml/2006/picture">
                <pic:pic>
                  <pic:nvPicPr>
                    <pic:cNvPr descr="/app/tmp/embedder-1670997621.0057938.png" id="30" name="Picture"/>
                    <pic:cNvPicPr>
                      <a:picLocks noChangeArrowheads="1" noChangeAspect="1"/>
                    </pic:cNvPicPr>
                  </pic:nvPicPr>
                  <pic:blipFill>
                    <a:blip r:embed="rId28"/>
                    <a:stretch>
                      <a:fillRect/>
                    </a:stretch>
                  </pic:blipFill>
                  <pic:spPr bwMode="auto">
                    <a:xfrm>
                      <a:off x="0" y="0"/>
                      <a:ext cx="5943600" cy="1373802"/>
                    </a:xfrm>
                    <a:prstGeom prst="rect">
                      <a:avLst/>
                    </a:prstGeom>
                    <a:noFill/>
                    <a:ln w="9525">
                      <a:noFill/>
                      <a:headEnd/>
                      <a:tailEnd/>
                    </a:ln>
                  </pic:spPr>
                </pic:pic>
              </a:graphicData>
            </a:graphic>
          </wp:inline>
        </w:drawing>
      </w:r>
    </w:p>
    <w:p>
      <w:pPr>
        <w:pStyle w:val="BodyText"/>
      </w:pPr>
      <w:r>
        <w:t xml:space="preserve">These triangles are all similar by the Angle-Angle Triangle Similarity Theorem. Focusing on the 25 degree angles, we see that all 3 triangles have adjacent leg to hypotenuse ratios of approximately 0.91.</w:t>
      </w:r>
    </w:p>
    <w:p>
      <w:pPr>
        <w:pStyle w:val="BodyText"/>
      </w:pPr>
      <w:r>
        <w:t xml:space="preserve">Because all right triangles with the same acute angle measures have the same ratios, we can look for patterns that will help us solve problems. The right triangle table comes from measuring and finding ratios in several right triangles with different angle measures.</w:t>
      </w:r>
    </w:p>
    <w:tbl>
      <w:tblPr>
        <w:tblStyle w:val="Table"/>
        <w:tblW w:type="auto" w:w="0"/>
        <w:tblLook w:firstRow="1" w:lastRow="0" w:firstColumn="0" w:lastColumn="0" w:noHBand="0" w:noVBand="0" w:val="0020"/>
      </w:tblPr>
      <w:tblGrid>
        <w:gridCol w:w="1980"/>
        <w:gridCol w:w="1980"/>
        <w:gridCol w:w="1980"/>
        <w:gridCol w:w="1980"/>
      </w:tblGrid>
      <w:tr>
        <w:trPr>
          <w:tblHeader w:val="true"/>
        </w:trPr>
        <w:tc>
          <w:tcPr/>
          <w:p>
            <w:pPr>
              <w:pStyle w:val="Compact"/>
              <w:jc w:val="left"/>
            </w:pPr>
            <w:r>
              <w:t xml:space="preserve">angle</w:t>
            </w:r>
          </w:p>
        </w:tc>
        <w:tc>
          <w:tcPr/>
          <w:p>
            <w:pPr>
              <w:pStyle w:val="Compact"/>
              <w:jc w:val="left"/>
            </w:pPr>
            <w:r>
              <w:t xml:space="preserve">adjacent leg</w:t>
            </w:r>
            <w:r>
              <w:t xml:space="preserve"> </w:t>
            </w:r>
            <m:oMath>
              <m:r>
                <m:rPr>
                  <m:sty m:val="p"/>
                </m:rPr>
                <m:t>÷</m:t>
              </m:r>
            </m:oMath>
            <w:r>
              <w:t xml:space="preserve"> hypotenuse</w:t>
            </w:r>
          </w:p>
        </w:tc>
        <w:tc>
          <w:tcPr/>
          <w:p>
            <w:pPr>
              <w:pStyle w:val="Compact"/>
              <w:jc w:val="left"/>
            </w:pPr>
            <w:r>
              <w:t xml:space="preserve">opposite leg</w:t>
            </w:r>
            <w:r>
              <w:t xml:space="preserve"> </w:t>
            </w:r>
            <m:oMath>
              <m:r>
                <m:rPr>
                  <m:sty m:val="p"/>
                </m:rPr>
                <m:t>÷</m:t>
              </m:r>
            </m:oMath>
            <w:r>
              <w:t xml:space="preserve"> hypotenuse</w:t>
            </w:r>
          </w:p>
        </w:tc>
        <w:tc>
          <w:tcPr/>
          <w:p>
            <w:pPr>
              <w:pStyle w:val="Compact"/>
              <w:jc w:val="left"/>
            </w:pPr>
            <w:r>
              <w:t xml:space="preserve">opposite leg</w:t>
            </w:r>
            <w:r>
              <w:t xml:space="preserve"> </w:t>
            </w:r>
            <m:oMath>
              <m:r>
                <m:rPr>
                  <m:sty m:val="p"/>
                </m:rPr>
                <m:t>÷</m:t>
              </m:r>
            </m:oMath>
            <w:r>
              <w:t xml:space="preserve"> adjacent leg</w:t>
            </w:r>
          </w:p>
        </w:tc>
      </w:tr>
      <w:tr>
        <w:tc>
          <w:tcPr/>
          <w:p>
            <w:pPr>
              <w:pStyle w:val="Compact"/>
              <w:jc w:val="left"/>
            </w:pPr>
            <m:oMath>
              <m:sSup>
                <m:e>
                  <m:r>
                    <m:t>25</m:t>
                  </m:r>
                </m:e>
                <m:sup>
                  <m:r>
                    <m:rPr>
                      <m:sty m:val="p"/>
                    </m:rPr>
                    <m:t>∘</m:t>
                  </m:r>
                </m:sup>
              </m:sSup>
            </m:oMath>
          </w:p>
        </w:tc>
        <w:tc>
          <w:tcPr/>
          <w:p>
            <w:pPr>
              <w:pStyle w:val="Compact"/>
              <w:jc w:val="left"/>
            </w:pPr>
            <w:r>
              <w:t xml:space="preserve">0.906</w:t>
            </w:r>
          </w:p>
        </w:tc>
        <w:tc>
          <w:tcPr/>
          <w:p>
            <w:pPr>
              <w:pStyle w:val="Compact"/>
              <w:jc w:val="left"/>
            </w:pPr>
            <w:r>
              <w:t xml:space="preserve">0.423</w:t>
            </w:r>
          </w:p>
        </w:tc>
        <w:tc>
          <w:tcPr/>
          <w:p>
            <w:pPr>
              <w:pStyle w:val="Compact"/>
              <w:jc w:val="left"/>
            </w:pPr>
            <w:r>
              <w:t xml:space="preserve">0.466</w:t>
            </w:r>
          </w:p>
        </w:tc>
      </w:tr>
      <w:tr>
        <w:tc>
          <w:tcPr/>
          <w:p>
            <w:pPr>
              <w:pStyle w:val="Compact"/>
              <w:jc w:val="left"/>
            </w:pPr>
            <m:oMath>
              <m:sSup>
                <m:e>
                  <m:r>
                    <m:t>35</m:t>
                  </m:r>
                </m:e>
                <m:sup>
                  <m:r>
                    <m:rPr>
                      <m:sty m:val="p"/>
                    </m:rPr>
                    <m:t>∘</m:t>
                  </m:r>
                </m:sup>
              </m:sSup>
            </m:oMath>
          </w:p>
        </w:tc>
        <w:tc>
          <w:tcPr/>
          <w:p>
            <w:pPr>
              <w:pStyle w:val="Compact"/>
              <w:jc w:val="left"/>
            </w:pPr>
            <w:r>
              <w:t xml:space="preserve">0.819</w:t>
            </w:r>
          </w:p>
        </w:tc>
        <w:tc>
          <w:tcPr/>
          <w:p>
            <w:pPr>
              <w:pStyle w:val="Compact"/>
              <w:jc w:val="left"/>
            </w:pPr>
            <w:r>
              <w:t xml:space="preserve">0.574</w:t>
            </w:r>
          </w:p>
        </w:tc>
        <w:tc>
          <w:tcPr/>
          <w:p>
            <w:pPr>
              <w:pStyle w:val="Compact"/>
              <w:jc w:val="left"/>
            </w:pPr>
            <w:r>
              <w:t xml:space="preserve">0.700</w:t>
            </w:r>
          </w:p>
        </w:tc>
      </w:tr>
      <w:tr>
        <w:tc>
          <w:tcPr/>
          <w:p>
            <w:pPr>
              <w:pStyle w:val="Compact"/>
              <w:jc w:val="left"/>
            </w:pPr>
            <m:oMath>
              <m:sSup>
                <m:e>
                  <m:r>
                    <m:t>45</m:t>
                  </m:r>
                </m:e>
                <m:sup>
                  <m:r>
                    <m:rPr>
                      <m:sty m:val="p"/>
                    </m:rPr>
                    <m:t>∘</m:t>
                  </m:r>
                </m:sup>
              </m:sSup>
            </m:oMath>
          </w:p>
        </w:tc>
        <w:tc>
          <w:tcPr/>
          <w:p>
            <w:pPr>
              <w:pStyle w:val="Compact"/>
              <w:jc w:val="left"/>
            </w:pPr>
            <w:r>
              <w:t xml:space="preserve">0.707</w:t>
            </w:r>
          </w:p>
        </w:tc>
        <w:tc>
          <w:tcPr/>
          <w:p>
            <w:pPr>
              <w:pStyle w:val="Compact"/>
              <w:jc w:val="left"/>
            </w:pPr>
            <w:r>
              <w:t xml:space="preserve">0.707</w:t>
            </w:r>
          </w:p>
        </w:tc>
        <w:tc>
          <w:tcPr/>
          <w:p>
            <w:pPr>
              <w:pStyle w:val="Compact"/>
              <w:jc w:val="left"/>
            </w:pPr>
            <w:r>
              <w:t xml:space="preserve">1.000</w:t>
            </w:r>
          </w:p>
        </w:tc>
      </w:tr>
      <w:tr>
        <w:tc>
          <w:tcPr/>
          <w:p>
            <w:pPr>
              <w:pStyle w:val="Compact"/>
              <w:jc w:val="left"/>
            </w:pPr>
            <m:oMath>
              <m:sSup>
                <m:e>
                  <m:r>
                    <m:t>55</m:t>
                  </m:r>
                </m:e>
                <m:sup>
                  <m:r>
                    <m:rPr>
                      <m:sty m:val="p"/>
                    </m:rPr>
                    <m:t>∘</m:t>
                  </m:r>
                </m:sup>
              </m:sSup>
            </m:oMath>
          </w:p>
        </w:tc>
        <w:tc>
          <w:tcPr/>
          <w:p>
            <w:pPr>
              <w:pStyle w:val="Compact"/>
              <w:jc w:val="left"/>
            </w:pPr>
            <w:r>
              <w:t xml:space="preserve">0.574</w:t>
            </w:r>
          </w:p>
        </w:tc>
        <w:tc>
          <w:tcPr/>
          <w:p>
            <w:pPr>
              <w:pStyle w:val="Compact"/>
              <w:jc w:val="left"/>
            </w:pPr>
            <w:r>
              <w:t xml:space="preserve">0.819</w:t>
            </w:r>
          </w:p>
        </w:tc>
        <w:tc>
          <w:tcPr/>
          <w:p>
            <w:pPr>
              <w:pStyle w:val="Compact"/>
              <w:jc w:val="left"/>
            </w:pPr>
            <w:r>
              <w:t xml:space="preserve">1.428</w:t>
            </w:r>
          </w:p>
        </w:tc>
      </w:tr>
      <w:tr>
        <w:tc>
          <w:tcPr/>
          <w:p>
            <w:pPr>
              <w:pStyle w:val="Compact"/>
              <w:jc w:val="left"/>
            </w:pPr>
            <m:oMath>
              <m:sSup>
                <m:e>
                  <m:r>
                    <m:t>65</m:t>
                  </m:r>
                </m:e>
                <m:sup>
                  <m:r>
                    <m:rPr>
                      <m:sty m:val="p"/>
                    </m:rPr>
                    <m:t>∘</m:t>
                  </m:r>
                </m:sup>
              </m:sSup>
            </m:oMath>
          </w:p>
        </w:tc>
        <w:tc>
          <w:tcPr/>
          <w:p>
            <w:pPr>
              <w:pStyle w:val="Compact"/>
              <w:jc w:val="left"/>
            </w:pPr>
            <w:r>
              <w:t xml:space="preserve">0.423</w:t>
            </w:r>
          </w:p>
        </w:tc>
        <w:tc>
          <w:tcPr/>
          <w:p>
            <w:pPr>
              <w:pStyle w:val="Compact"/>
              <w:jc w:val="left"/>
            </w:pPr>
            <w:r>
              <w:t xml:space="preserve">0.906</w:t>
            </w:r>
          </w:p>
        </w:tc>
        <w:tc>
          <w:tcPr/>
          <w:p>
            <w:pPr>
              <w:pStyle w:val="Compact"/>
              <w:jc w:val="left"/>
            </w:pPr>
            <w:r>
              <w:t xml:space="preserve">2.145</w:t>
            </w:r>
          </w:p>
        </w:tc>
      </w:tr>
    </w:tbl>
    <w:p>
      <w:pPr>
        <w:pStyle w:val="BodyText"/>
      </w:pPr>
      <w:r>
        <w:t xml:space="preserve">Some ratios in this table are repeated. Notice that the rows for 25 degrees and 65 degrees have 2 of the same ratios. What is special about 25 and 65? They are</w:t>
      </w:r>
      <w:r>
        <w:t xml:space="preserve"> </w:t>
      </w:r>
      <w:r>
        <w:rPr>
          <w:bCs/>
          <w:b/>
        </w:rPr>
        <w:t xml:space="preserve">complementary</w:t>
      </w:r>
      <w:r>
        <w:t xml:space="preserve"> </w:t>
      </w:r>
      <w:r>
        <w:t xml:space="preserve">angles, that is, the 2 angles sum to 90 degrees. This seems to be true for other complementary angles. Notice that </w:t>
      </w:r>
      <m:oMath>
        <m:r>
          <m:t>35</m:t>
        </m:r>
        <m:r>
          <m:rPr>
            <m:sty m:val="p"/>
          </m:rPr>
          <m:t>+</m:t>
        </m:r>
        <m:r>
          <m:t>55</m:t>
        </m:r>
        <m:r>
          <m:rPr>
            <m:sty m:val="p"/>
          </m:rPr>
          <m:t>=</m:t>
        </m:r>
        <m:r>
          <m:t>90</m:t>
        </m:r>
      </m:oMath>
      <w:r>
        <w:t xml:space="preserve"> </w:t>
      </w:r>
      <w:r>
        <w:t xml:space="preserve">and those rows both have 0.819 as a ratio.</w:t>
      </w:r>
    </w:p>
    <w:p>
      <w:pPr>
        <w:pStyle w:val="BodyText"/>
      </w:pPr>
      <w:r>
        <w:drawing>
          <wp:inline>
            <wp:extent cx="762000" cy="266700"/>
            <wp:effectExtent b="0" l="0" r="0" t="0"/>
            <wp:docPr descr="" title="" id="32" name="Picture"/>
            <a:graphic>
              <a:graphicData uri="http://schemas.openxmlformats.org/drawingml/2006/picture">
                <pic:pic>
                  <pic:nvPicPr>
                    <pic:cNvPr descr="/app/app/assets/images/export/ccby_logo_small.png" id="33" name="Picture"/>
                    <pic:cNvPicPr>
                      <a:picLocks noChangeArrowheads="1" noChangeAspect="1"/>
                    </pic:cNvPicPr>
                  </pic:nvPicPr>
                  <pic:blipFill>
                    <a:blip r:embed="rId31"/>
                    <a:stretch>
                      <a:fillRect/>
                    </a:stretch>
                  </pic:blipFill>
                  <pic:spPr bwMode="auto">
                    <a:xfrm>
                      <a:off x="0" y="0"/>
                      <a:ext cx="762000" cy="266700"/>
                    </a:xfrm>
                    <a:prstGeom prst="rect">
                      <a:avLst/>
                    </a:prstGeom>
                    <a:noFill/>
                    <a:ln w="9525">
                      <a:noFill/>
                      <a:headEnd/>
                      <a:tailEnd/>
                    </a:ln>
                  </pic:spPr>
                </pic:pic>
              </a:graphicData>
            </a:graphic>
          </wp:inline>
        </w:drawing>
      </w:r>
    </w:p>
    <w:p>
      <w:pPr>
        <w:pStyle w:val="BodyText"/>
      </w:pPr>
      <w:r>
        <w:t xml:space="preserve">© CC BY 2019 by Illustrative Mathematics®</w:t>
      </w:r>
    </w:p>
    <w:bookmarkEnd w:id="34"/>
    <w:sectPr w:rsidR="00D121E2">
      <w:headerReference r:id="rId10" w:type="even"/>
      <w:headerReference r:id="rId11" w:type="default"/>
      <w:footerReference r:id="rId14" w:type="even"/>
      <w:footerReference r:id="rId12" w:type="default"/>
      <w:headerReference r:id="rId9" w:type="first"/>
      <w:footerReference r:id="rId13" w:type="first"/>
      <w:pgSz w:h="15840" w:w="12240"/>
      <w:pgMar w:bottom="1440" w:footer="720" w:gutter="0" w:header="720" w:left="1440" w:right="1440" w:top="1440"/>
      <w:cols w:space="7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mbria">
    <w:panose1 w:val="02040503050406030204"/>
    <w:charset w:val="00"/>
    <w:family w:val="auto"/>
    <w:pitch w:val="variable"/>
    <w:sig w:usb0="E00002FF" w:usb1="400004FF" w:usb2="00000000" w:usb3="00000000" w:csb0="0000019F" w:csb1="00000000"/>
  </w:font>
  <w:font w:name="Times New Roman">
    <w:panose1 w:val="02020603050405020304"/>
    <w:charset w:val="00"/>
    <w:family w:val="auto"/>
    <w:pitch w:val="variable"/>
    <w:sig w:usb0="E0002AEF" w:usb1="C0007841" w:usb2="00000009" w:usb3="00000000" w:csb0="000001FF" w:csb1="00000000"/>
  </w:font>
  <w:font w:name="Calibri">
    <w:panose1 w:val="020F0502020204030204"/>
    <w:charset w:val="00"/>
    <w:family w:val="auto"/>
    <w:pitch w:val="variable"/>
    <w:sig w:usb0="E00002FF" w:usb1="4000ACFF" w:usb2="00000001" w:usb3="00000000" w:csb0="0000019F" w:csb1="00000000"/>
  </w:font>
  <w:font w:name="Consolas">
    <w:panose1 w:val="020B0609020204030204"/>
    <w:charset w:val="00"/>
    <w:family w:val="auto"/>
    <w:pitch w:val="variable"/>
    <w:sig w:usb0="E10002FF" w:usb1="4000FCFF" w:usb2="00000009" w:usb3="00000000" w:csb0="0000019F"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020838" w14:textId="77777777" w:rsidR="004334B2" w:rsidRDefault="004334B2" w:rsidP="00C83B8A">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326E3B1" w14:textId="77777777" w:rsidR="009E40FE" w:rsidRDefault="009E40FE" w:rsidP="004334B2">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C5D34E5" w14:textId="3F7124D7" w:rsidR="000B7A7F" w:rsidRDefault="00E54CE6" w:rsidP="004334B2">
    <w:pPr>
      <w:pStyle w:val="Footer"/>
      <w:ind w:right="360"/>
    </w:pPr>
    <w:r>
      <w:pict w14:anchorId="5EC179F9">
        <v:rect id="_x0000_i1026" style="width:0;height:1.5pt" o:hralign="center" o:hrstd="t" o:hr="t" fillcolor="#aaa" stroked="f"/>
      </w:pict>
    </w:r>
  </w:p>
  <w:p w14:paraId="4389672A" w14:textId="77777777" w:rsidR="000B7A7F" w:rsidRDefault="000B7A7F" w:rsidP="000B7A7F">
    <w:pPr>
      <w:pStyle w:val="Footer"/>
      <w:framePr w:wrap="none" w:vAnchor="text" w:hAnchor="page" w:x="11422" w:y="209"/>
      <w:rPr>
        <w:rStyle w:val="PageNumber"/>
      </w:rPr>
    </w:pPr>
    <w:r>
      <w:rPr>
        <w:rStyle w:val="PageNumber"/>
      </w:rPr>
      <w:fldChar w:fldCharType="begin"/>
    </w:r>
    <w:r>
      <w:rPr>
        <w:rStyle w:val="PageNumber"/>
      </w:rPr>
      <w:instrText xml:space="preserve">PAGE  </w:instrText>
    </w:r>
    <w:r>
      <w:rPr>
        <w:rStyle w:val="PageNumber"/>
      </w:rPr>
      <w:fldChar w:fldCharType="separate"/>
    </w:r>
    <w:r w:rsidR="00ED6A00">
      <w:rPr>
        <w:rStyle w:val="PageNumber"/>
        <w:noProof/>
      </w:rPr>
      <w:t>1</w:t>
    </w:r>
    <w:r>
      <w:rPr>
        <w:rStyle w:val="PageNumber"/>
      </w:rPr>
      <w:fldChar w:fldCharType="end"/>
    </w:r>
  </w:p>
  <w:p w14:paraId="2E999C6A" w14:textId="712842B2" w:rsidR="009E40FE" w:rsidRDefault="004334B2" w:rsidP="004334B2">
    <w:pPr>
      <w:pStyle w:val="Footer"/>
      <w:ind w:right="360"/>
    </w:pPr>
    <w:bookmarkStart w:id="0" w:name="_GoBack"/>
    <w:bookmarkEnd w:id="0"/>
    <w:r>
      <w:tab/>
    </w:r>
    <w:r>
      <w:tab/>
    </w: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807B0E5" w14:textId="77777777" w:rsidR="009E40FE" w:rsidRDefault="009E40FE">
    <w:pPr>
      <w:pStyle w:val="Footer"/>
    </w:pPr>
  </w:p>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01E271E" w14:textId="77777777" w:rsidR="009E40FE" w:rsidRDefault="009E40FE">
    <w:pPr>
      <w:pStyle w:val="Heade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89E8894" w14:textId="0197742A" w:rsidR="009E40FE" w:rsidRDefault="009E40FE">
    <w:pPr>
      <w:pStyle w:val="Header"/>
    </w:pPr>
    <w:r w:rsidRPr="00060C23">
      <w:rPr>
        <w:noProof/>
      </w:rPr>
      <w:drawing>
        <wp:anchor distT="0" distB="0" distL="114300" distR="114300" simplePos="0" relativeHeight="251659264" behindDoc="0" locked="0" layoutInCell="1" allowOverlap="0" wp14:anchorId="69158EB4" wp14:editId="4429B5A5">
          <wp:simplePos x="0" y="0"/>
          <wp:positionH relativeFrom="column">
            <wp:posOffset>4874895</wp:posOffset>
          </wp:positionH>
          <wp:positionV relativeFrom="paragraph">
            <wp:posOffset>-120015</wp:posOffset>
          </wp:positionV>
          <wp:extent cx="1043940" cy="228600"/>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_OUR_logos.png"/>
                  <pic:cNvPicPr/>
                </pic:nvPicPr>
                <pic:blipFill>
                  <a:blip r:embed="rId1">
                    <a:extLst>
                      <a:ext uri="{28A0092B-C50C-407E-A947-70E740481C1C}">
                        <a14:useLocalDpi xmlns:a14="http://schemas.microsoft.com/office/drawing/2010/main" val="0"/>
                      </a:ext>
                    </a:extLst>
                  </a:blip>
                  <a:stretch>
                    <a:fillRect/>
                  </a:stretch>
                </pic:blipFill>
                <pic:spPr>
                  <a:xfrm>
                    <a:off x="0" y="0"/>
                    <a:ext cx="1043940" cy="228600"/>
                  </a:xfrm>
                  <a:prstGeom prst="rect">
                    <a:avLst/>
                  </a:prstGeom>
                </pic:spPr>
              </pic:pic>
            </a:graphicData>
          </a:graphic>
          <wp14:sizeRelH relativeFrom="margin">
            <wp14:pctWidth>0</wp14:pctWidth>
          </wp14:sizeRelH>
        </wp:anchor>
      </w:drawing>
    </w:r>
    <w:r>
      <w:ptab w:relativeTo="margin" w:alignment="right" w:leader="none"/>
    </w:r>
  </w:p>
  <w:p w14:paraId="2A500FB4" w14:textId="77777777" w:rsidR="0047280E" w:rsidRDefault="0047280E">
    <w:pPr>
      <w:pStyle w:val="Header"/>
    </w:pPr>
  </w:p>
  <w:p w14:paraId="30036C25" w14:textId="77777777" w:rsidR="001E3EA7" w:rsidRDefault="001E3EA7">
    <w:pPr>
      <w:pStyle w:val="Header"/>
    </w:pPr>
  </w:p>
  <w:p w14:paraId="71D671F4" w14:textId="5CB14710" w:rsidR="0047280E" w:rsidRDefault="00E54CE6">
    <w:pPr>
      <w:pStyle w:val="Header"/>
    </w:pPr>
    <w:r>
      <w:pict w14:anchorId="180017B1">
        <v:rect id="_x0000_i1025" style="width:0;height:1.5pt" o:hralign="center" o:hrstd="t" o:hr="t" fillcolor="#aaa" stroked="f"/>
      </w:pict>
    </w:r>
  </w:p>
  <w:p w14:paraId="5699A3D6" w14:textId="5F2F2DF8" w:rsidR="001E3EA7" w:rsidRDefault="001E3EA7">
    <w:pPr>
      <w:pStyle w:val="Header"/>
    </w:pPr>
    <w:r>
      <w:t>NAME</w:t>
    </w:r>
    <w:r>
      <w:tab/>
      <w:t>DATE</w:t>
    </w:r>
    <w:r>
      <w:tab/>
      <w:t>PERIOD</w:t>
    </w:r>
  </w:p>
  <w:p w14:paraId="4ADE8C9C" w14:textId="77777777" w:rsidR="0047280E" w:rsidRDefault="0047280E">
    <w:pPr>
      <w:pStyle w:val="Header"/>
    </w:pP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6FE40C3" w14:textId="77777777" w:rsidR="009E40FE" w:rsidRDefault="009E40FE">
    <w:pPr>
      <w:pStyle w:val="Header"/>
    </w:pPr>
  </w:p>
</w:hdr>
</file>

<file path=word/numbering.xml><?xml version="1.0" encoding="utf-8"?>
<w:numbering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abstractNum w:abstractNumId="0">
    <w:nsid w:val="E17F69BA"/>
    <w:multiLevelType w:val="multilevel"/>
    <w:tmpl w:val="E014FE38"/>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1">
    <w:nsid w:val="4F6ADBBF"/>
    <w:multiLevelType w:val="multilevel"/>
    <w:tmpl w:val="329E54F4"/>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
    <w:abstractNumId w:val="0"/>
  </w:num>
  <w:num w:numId="2">
    <w:abstractNumId w:val="1"/>
  </w: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6">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savePreviewPicture/>
  <w:rsids>
  </w:rsids>
  <w:clrSchemeMapping w:accent1="accent1" w:accent2="accent2" w:accent3="accent3" w:accent4="accent4" w:accent5="accent5" w:accent6="accent6" w:bg1="light1" w:bg2="light2" w:followedHyperlink="followedHyperlink" w:hyperlink="hyperlink" w:t1="dark1" w:t2="dark2"/>
  <w:zoom w:percent="9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compat>
    <w:compatSetting w:name="compatibilityMode" w:uri="http://schemas.microsoft.com/office/word" w:val="12"/>
  </w:compat>
  <m:mathPr>
    <m:mathFont m:val="Cambria Math"/>
    <m:brkBin m:val="before"/>
    <m:brkBinSub m:val="--"/>
    <m:smallFrac m:val="0"/>
    <m:dispDef m:val="0"/>
    <m:lMargin m:val="0"/>
    <m:rMargin m:val="0"/>
    <m:defJc m:val="centerGroup"/>
    <m:wrapRight/>
    <m:intLim m:val="subSup"/>
    <m:naryLim m:val="subSup"/>
  </m:mathPr>
  <w:themeFontLang w:bidi="x-none" w:eastAsia="x-none" w:val="en-U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382" w:defLockedState="0" w:defQFormat="0" w:defSemiHidden="0" w:defUIPriority="0" w:defUnhideWhenUsed="0">
    <w:lsdException w:name="heading 8"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5" w:semiHidden="1" w:unhideWhenUsed="1"/>
    <w:lsdException w:name="List Number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atentStyles>
  <w:style w:default="1" w:styleId="Normal" w:type="paragraph">
    <w:name w:val="Normal"/>
    <w:qFormat/>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themeShade="B5" w:val="345A8A"/>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32"/>
      <w:szCs w:val="32"/>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8"/>
      <w:szCs w:val="28"/>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b/>
      <w:bCs/>
      <w:color w:themeColor="accent1" w:val="4F81BD"/>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
      <w:iCs/>
      <w:color w:themeColor="accent1" w:val="4F81BD"/>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rPr>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styleId="BodyText" w:type="paragraph">
    <w:name w:val="Body Text"/>
    <w:basedOn w:val="Normal"/>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spacing w:before="240"/>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qFormat/>
  </w:style>
  <w:style w:styleId="BlockText" w:type="paragraph">
    <w:name w:val="Block Text"/>
    <w:basedOn w:val="BodyText"/>
    <w:next w:val="BodyText"/>
    <w:uiPriority w:val="9"/>
    <w:unhideWhenUsed/>
    <w:qFormat/>
    <w:pPr>
      <w:spacing w:after="100" w:before="100"/>
    </w:pPr>
    <w:rPr>
      <w:rFonts w:asciiTheme="majorHAnsi" w:cstheme="majorBidi" w:eastAsiaTheme="majorEastAsia" w:hAnsiTheme="majorHAnsi"/>
      <w:bCs/>
      <w:sz w:val="20"/>
      <w:szCs w:val="20"/>
    </w:rPr>
  </w:style>
  <w:style w:styleId="FootnoteText" w:type="paragraph">
    <w:name w:val="footnote text"/>
    <w:basedOn w:val="Normal"/>
    <w:uiPriority w:val="9"/>
    <w:unhideWhenUsed/>
    <w:qFormat/>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CaptionChar"/>
    <w:pPr>
      <w:spacing w:after="12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FigurewithCaption" w:type="paragraph">
    <w:name w:val="Figure with Caption"/>
    <w:basedOn w:val="Figure"/>
    <w:pPr>
      <w:keepNext/>
    </w:pPr>
  </w:style>
  <w:style w:customStyle="1" w:styleId="CaptionChar" w:type="character">
    <w:name w:val="Caption Char"/>
    <w:basedOn w:val="DefaultParagraphFont"/>
    <w:link w:val="Caption"/>
  </w:style>
  <w:style w:customStyle="1" w:styleId="VerbatimChar" w:type="character">
    <w:name w:val="Verbatim Char"/>
    <w:basedOn w:val="CaptionChar"/>
    <w:link w:val="SourceCode"/>
    <w:rPr>
      <w:rFonts w:ascii="Consolas" w:hAnsi="Consolas"/>
      <w:sz w:val="22"/>
    </w:rPr>
  </w:style>
  <w:style w:styleId="FootnoteReference" w:type="character">
    <w:name w:val="footnote reference"/>
    <w:basedOn w:val="CaptionChar"/>
    <w:rPr>
      <w:vertAlign w:val="superscript"/>
    </w:rPr>
  </w:style>
  <w:style w:styleId="Hyperlink" w:type="character">
    <w:name w:val="Hyperlink"/>
    <w:basedOn w:val="Caption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b w:val="0"/>
      <w:bCs w:val="0"/>
      <w:color w:themeColor="accent1" w:themeShade="BF" w:val="365F91"/>
    </w:rPr>
  </w:style>
  <w:style w:customStyle="1" w:styleId="SourceCode" w:type="paragraph">
    <w:name w:val="Source Code"/>
    <w:basedOn w:val="Normal"/>
    <w:link w:val="VerbatimChar"/>
    <w:pPr>
      <w:wordWrap w:val="0"/>
    </w:pPr>
  </w:style>
  <w:style w:customStyle="1" w:styleId="KeywordTok" w:type="character">
    <w:name w:val="KeywordTok"/>
    <w:basedOn w:val="VerbatimChar"/>
    <w:rPr>
      <w:rFonts w:ascii="Consolas" w:hAnsi="Consolas"/>
      <w:b/>
      <w:color w:val="007020"/>
      <w:sz w:val="22"/>
    </w:rPr>
  </w:style>
  <w:style w:customStyle="1" w:styleId="DataTypeTok" w:type="character">
    <w:name w:val="DataTypeTok"/>
    <w:basedOn w:val="VerbatimChar"/>
    <w:rPr>
      <w:rFonts w:ascii="Consolas" w:hAnsi="Consolas"/>
      <w:color w:val="902000"/>
      <w:sz w:val="22"/>
    </w:rPr>
  </w:style>
  <w:style w:customStyle="1" w:styleId="DecValTok" w:type="character">
    <w:name w:val="DecValTok"/>
    <w:basedOn w:val="VerbatimChar"/>
    <w:rPr>
      <w:rFonts w:ascii="Consolas" w:hAnsi="Consolas"/>
      <w:color w:val="40A070"/>
      <w:sz w:val="22"/>
    </w:rPr>
  </w:style>
  <w:style w:customStyle="1" w:styleId="BaseNTok" w:type="character">
    <w:name w:val="BaseNTok"/>
    <w:basedOn w:val="VerbatimChar"/>
    <w:rPr>
      <w:rFonts w:ascii="Consolas" w:hAnsi="Consolas"/>
      <w:color w:val="40A070"/>
      <w:sz w:val="22"/>
    </w:rPr>
  </w:style>
  <w:style w:customStyle="1" w:styleId="FloatTok" w:type="character">
    <w:name w:val="FloatTok"/>
    <w:basedOn w:val="VerbatimChar"/>
    <w:rPr>
      <w:rFonts w:ascii="Consolas" w:hAnsi="Consolas"/>
      <w:color w:val="40A070"/>
      <w:sz w:val="22"/>
    </w:rPr>
  </w:style>
  <w:style w:customStyle="1" w:styleId="ConstantTok" w:type="character">
    <w:name w:val="ConstantTok"/>
    <w:basedOn w:val="VerbatimChar"/>
    <w:rPr>
      <w:rFonts w:ascii="Consolas" w:hAnsi="Consolas"/>
      <w:color w:val="880000"/>
      <w:sz w:val="22"/>
    </w:rPr>
  </w:style>
  <w:style w:customStyle="1" w:styleId="CharTok" w:type="character">
    <w:name w:val="CharTok"/>
    <w:basedOn w:val="VerbatimChar"/>
    <w:rPr>
      <w:rFonts w:ascii="Consolas" w:hAnsi="Consolas"/>
      <w:color w:val="4070A0"/>
      <w:sz w:val="22"/>
    </w:rPr>
  </w:style>
  <w:style w:customStyle="1" w:styleId="SpecialCharTok" w:type="character">
    <w:name w:val="SpecialCharTok"/>
    <w:basedOn w:val="VerbatimChar"/>
    <w:rPr>
      <w:rFonts w:ascii="Consolas" w:hAnsi="Consolas"/>
      <w:color w:val="4070A0"/>
      <w:sz w:val="22"/>
    </w:rPr>
  </w:style>
  <w:style w:customStyle="1" w:styleId="StringTok" w:type="character">
    <w:name w:val="StringTok"/>
    <w:basedOn w:val="VerbatimChar"/>
    <w:rPr>
      <w:rFonts w:ascii="Consolas" w:hAnsi="Consolas"/>
      <w:color w:val="4070A0"/>
      <w:sz w:val="22"/>
    </w:rPr>
  </w:style>
  <w:style w:customStyle="1" w:styleId="VerbatimStringTok" w:type="character">
    <w:name w:val="VerbatimStringTok"/>
    <w:basedOn w:val="VerbatimChar"/>
    <w:rPr>
      <w:rFonts w:ascii="Consolas" w:hAnsi="Consolas"/>
      <w:color w:val="4070A0"/>
      <w:sz w:val="22"/>
    </w:rPr>
  </w:style>
  <w:style w:customStyle="1" w:styleId="SpecialStringTok" w:type="character">
    <w:name w:val="SpecialStringTok"/>
    <w:basedOn w:val="VerbatimChar"/>
    <w:rPr>
      <w:rFonts w:ascii="Consolas" w:hAnsi="Consolas"/>
      <w:color w:val="BB6688"/>
      <w:sz w:val="22"/>
    </w:rPr>
  </w:style>
  <w:style w:customStyle="1" w:styleId="ImportTok" w:type="character">
    <w:name w:val="ImportTok"/>
    <w:basedOn w:val="VerbatimChar"/>
    <w:rPr>
      <w:rFonts w:ascii="Consolas" w:hAnsi="Consolas"/>
      <w:sz w:val="22"/>
    </w:rPr>
  </w:style>
  <w:style w:customStyle="1" w:styleId="CommentTok" w:type="character">
    <w:name w:val="CommentTok"/>
    <w:basedOn w:val="VerbatimChar"/>
    <w:rPr>
      <w:rFonts w:ascii="Consolas" w:hAnsi="Consolas"/>
      <w:i/>
      <w:color w:val="60A0B0"/>
      <w:sz w:val="22"/>
    </w:rPr>
  </w:style>
  <w:style w:customStyle="1" w:styleId="DocumentationTok" w:type="character">
    <w:name w:val="DocumentationTok"/>
    <w:basedOn w:val="VerbatimChar"/>
    <w:rPr>
      <w:rFonts w:ascii="Consolas" w:hAnsi="Consolas"/>
      <w:i/>
      <w:color w:val="BA2121"/>
      <w:sz w:val="22"/>
    </w:rPr>
  </w:style>
  <w:style w:customStyle="1" w:styleId="AnnotationTok" w:type="character">
    <w:name w:val="AnnotationTok"/>
    <w:basedOn w:val="VerbatimChar"/>
    <w:rPr>
      <w:rFonts w:ascii="Consolas" w:hAnsi="Consolas"/>
      <w:b/>
      <w:i/>
      <w:color w:val="60A0B0"/>
      <w:sz w:val="22"/>
    </w:rPr>
  </w:style>
  <w:style w:customStyle="1" w:styleId="CommentVarTok" w:type="character">
    <w:name w:val="CommentVarTok"/>
    <w:basedOn w:val="VerbatimChar"/>
    <w:rPr>
      <w:rFonts w:ascii="Consolas" w:hAnsi="Consolas"/>
      <w:b/>
      <w:i/>
      <w:color w:val="60A0B0"/>
      <w:sz w:val="22"/>
    </w:rPr>
  </w:style>
  <w:style w:customStyle="1" w:styleId="OtherTok" w:type="character">
    <w:name w:val="OtherTok"/>
    <w:basedOn w:val="VerbatimChar"/>
    <w:rPr>
      <w:rFonts w:ascii="Consolas" w:hAnsi="Consolas"/>
      <w:color w:val="007020"/>
      <w:sz w:val="22"/>
    </w:rPr>
  </w:style>
  <w:style w:customStyle="1" w:styleId="FunctionTok" w:type="character">
    <w:name w:val="FunctionTok"/>
    <w:basedOn w:val="VerbatimChar"/>
    <w:rPr>
      <w:rFonts w:ascii="Consolas" w:hAnsi="Consolas"/>
      <w:color w:val="06287E"/>
      <w:sz w:val="22"/>
    </w:rPr>
  </w:style>
  <w:style w:customStyle="1" w:styleId="VariableTok" w:type="character">
    <w:name w:val="VariableTok"/>
    <w:basedOn w:val="VerbatimChar"/>
    <w:rPr>
      <w:rFonts w:ascii="Consolas" w:hAnsi="Consolas"/>
      <w:color w:val="19177C"/>
      <w:sz w:val="22"/>
    </w:rPr>
  </w:style>
  <w:style w:customStyle="1" w:styleId="ControlFlowTok" w:type="character">
    <w:name w:val="ControlFlowTok"/>
    <w:basedOn w:val="VerbatimChar"/>
    <w:rPr>
      <w:rFonts w:ascii="Consolas" w:hAnsi="Consolas"/>
      <w:b/>
      <w:color w:val="007020"/>
      <w:sz w:val="22"/>
    </w:rPr>
  </w:style>
  <w:style w:customStyle="1" w:styleId="OperatorTok" w:type="character">
    <w:name w:val="OperatorTok"/>
    <w:basedOn w:val="VerbatimChar"/>
    <w:rPr>
      <w:rFonts w:ascii="Consolas" w:hAnsi="Consolas"/>
      <w:color w:val="666666"/>
      <w:sz w:val="22"/>
    </w:rPr>
  </w:style>
  <w:style w:customStyle="1" w:styleId="BuiltInTok" w:type="character">
    <w:name w:val="BuiltInTok"/>
    <w:basedOn w:val="VerbatimChar"/>
    <w:rPr>
      <w:rFonts w:ascii="Consolas" w:hAnsi="Consolas"/>
      <w:sz w:val="22"/>
    </w:rPr>
  </w:style>
  <w:style w:customStyle="1" w:styleId="ExtensionTok" w:type="character">
    <w:name w:val="ExtensionTok"/>
    <w:basedOn w:val="VerbatimChar"/>
    <w:rPr>
      <w:rFonts w:ascii="Consolas" w:hAnsi="Consolas"/>
      <w:sz w:val="22"/>
    </w:rPr>
  </w:style>
  <w:style w:customStyle="1" w:styleId="PreprocessorTok" w:type="character">
    <w:name w:val="PreprocessorTok"/>
    <w:basedOn w:val="VerbatimChar"/>
    <w:rPr>
      <w:rFonts w:ascii="Consolas" w:hAnsi="Consolas"/>
      <w:color w:val="BC7A00"/>
      <w:sz w:val="22"/>
    </w:rPr>
  </w:style>
  <w:style w:customStyle="1" w:styleId="AttributeTok" w:type="character">
    <w:name w:val="AttributeTok"/>
    <w:basedOn w:val="VerbatimChar"/>
    <w:rPr>
      <w:rFonts w:ascii="Consolas" w:hAnsi="Consolas"/>
      <w:color w:val="7D9029"/>
      <w:sz w:val="22"/>
    </w:rPr>
  </w:style>
  <w:style w:customStyle="1" w:styleId="RegionMarkerTok" w:type="character">
    <w:name w:val="RegionMarkerTok"/>
    <w:basedOn w:val="VerbatimChar"/>
    <w:rPr>
      <w:rFonts w:ascii="Consolas" w:hAnsi="Consolas"/>
      <w:sz w:val="22"/>
    </w:rPr>
  </w:style>
  <w:style w:customStyle="1" w:styleId="InformationTok" w:type="character">
    <w:name w:val="InformationTok"/>
    <w:basedOn w:val="VerbatimChar"/>
    <w:rPr>
      <w:rFonts w:ascii="Consolas" w:hAnsi="Consolas"/>
      <w:b/>
      <w:i/>
      <w:color w:val="60A0B0"/>
      <w:sz w:val="22"/>
    </w:rPr>
  </w:style>
  <w:style w:customStyle="1" w:styleId="WarningTok" w:type="character">
    <w:name w:val="WarningTok"/>
    <w:basedOn w:val="VerbatimChar"/>
    <w:rPr>
      <w:rFonts w:ascii="Consolas" w:hAnsi="Consolas"/>
      <w:b/>
      <w:i/>
      <w:color w:val="60A0B0"/>
      <w:sz w:val="22"/>
    </w:rPr>
  </w:style>
  <w:style w:customStyle="1" w:styleId="AlertTok" w:type="character">
    <w:name w:val="AlertTok"/>
    <w:basedOn w:val="VerbatimChar"/>
    <w:rPr>
      <w:rFonts w:ascii="Consolas" w:hAnsi="Consolas"/>
      <w:b/>
      <w:color w:val="FF0000"/>
      <w:sz w:val="22"/>
    </w:rPr>
  </w:style>
  <w:style w:customStyle="1" w:styleId="ErrorTok" w:type="character">
    <w:name w:val="ErrorTok"/>
    <w:basedOn w:val="VerbatimChar"/>
    <w:rPr>
      <w:rFonts w:ascii="Consolas" w:hAnsi="Consolas"/>
      <w:b/>
      <w:color w:val="FF0000"/>
      <w:sz w:val="22"/>
    </w:rPr>
  </w:style>
  <w:style w:customStyle="1" w:styleId="NormalTok" w:type="character">
    <w:name w:val="NormalTok"/>
    <w:basedOn w:val="VerbatimChar"/>
    <w:rPr>
      <w:rFonts w:ascii="Consolas" w:hAnsi="Consolas"/>
      <w:sz w:val="22"/>
    </w:rPr>
  </w:style>
  <w:style w:styleId="Header" w:type="paragraph">
    <w:name w:val="header"/>
    <w:basedOn w:val="Normal"/>
    <w:link w:val="HeaderChar"/>
    <w:unhideWhenUsed/>
    <w:rsid w:val="009E40FE"/>
    <w:pPr>
      <w:tabs>
        <w:tab w:pos="4680" w:val="center"/>
        <w:tab w:pos="9360" w:val="right"/>
      </w:tabs>
      <w:spacing w:after="0"/>
    </w:pPr>
  </w:style>
  <w:style w:customStyle="1" w:styleId="HeaderChar" w:type="character">
    <w:name w:val="Header Char"/>
    <w:basedOn w:val="DefaultParagraphFont"/>
    <w:link w:val="Header"/>
    <w:rsid w:val="009E40FE"/>
  </w:style>
  <w:style w:styleId="Footer" w:type="paragraph">
    <w:name w:val="footer"/>
    <w:basedOn w:val="Normal"/>
    <w:link w:val="FooterChar"/>
    <w:unhideWhenUsed/>
    <w:rsid w:val="009E40FE"/>
    <w:pPr>
      <w:tabs>
        <w:tab w:pos="4680" w:val="center"/>
        <w:tab w:pos="9360" w:val="right"/>
      </w:tabs>
      <w:spacing w:after="0"/>
    </w:pPr>
  </w:style>
  <w:style w:customStyle="1" w:styleId="FooterChar" w:type="character">
    <w:name w:val="Footer Char"/>
    <w:basedOn w:val="DefaultParagraphFont"/>
    <w:link w:val="Footer"/>
    <w:rsid w:val="009E40FE"/>
  </w:style>
  <w:style w:styleId="PageNumber" w:type="character">
    <w:name w:val="page number"/>
    <w:basedOn w:val="DefaultParagraphFont"/>
    <w:semiHidden/>
    <w:unhideWhenUsed/>
    <w:rsid w:val="004334B2"/>
  </w:style>
  <w:style w:styleId="FollowedHyperlink" w:type="character">
    <w:name w:val="FollowedHyperlink"/>
    <w:basedOn w:val="DefaultParagraphFont"/>
    <w:semiHidden/>
    <w:unhideWhenUsed/>
    <w:rsid w:val="0007094A"/>
    <w:rPr>
      <w:color w:themeColor="followedHyperlink"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arget="header3.xml" Type="http://schemas.openxmlformats.org/officeDocument/2006/relationships/header" /><Relationship Id="rId10" Target="header1.xml" Type="http://schemas.openxmlformats.org/officeDocument/2006/relationships/header" /><Relationship Id="rId11" Target="header2.xml" Type="http://schemas.openxmlformats.org/officeDocument/2006/relationships/header" /><Relationship Id="rId12" Target="footer2.xml" Type="http://schemas.openxmlformats.org/officeDocument/2006/relationships/footer" /><Relationship Id="rId13" Target="footer3.xml" Type="http://schemas.openxmlformats.org/officeDocument/2006/relationships/footer" /><Relationship Id="rId14" Target="footer1.xml" Type="http://schemas.openxmlformats.org/officeDocument/2006/relationships/footer" /><Relationship Type="http://schemas.openxmlformats.org/officeDocument/2006/relationships/image" Id="rId31" Target="media/rId31.png" /><Relationship Type="http://schemas.openxmlformats.org/officeDocument/2006/relationships/image" Id="rId21" Target="media/rId21.png" /><Relationship Type="http://schemas.openxmlformats.org/officeDocument/2006/relationships/image" Id="rId28" Target="media/rId28.png" /></Relationships>
</file>

<file path=word/_rels/footnotes.xml.rels><?xml version="1.0" encoding="UTF-8"?><Relationships xmlns="http://schemas.openxmlformats.org/package/2006/relationships" />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1</Pages>
  <Words>1</Words>
  <Characters>11</Characters>
  <Application>Microsoft Macintosh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2022-12-14T06:00:21Z</dcterms:created>
  <dcterms:modified xsi:type="dcterms:W3CDTF">2022-12-14T06:00:21Z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srf-param">
    <vt:lpwstr>authenticity_token</vt:lpwstr>
  </property>
  <property fmtid="{D5CDD505-2E9C-101B-9397-08002B2CF9AE}" pid="3" name="csrf-token">
    <vt:lpwstr>Jjpj4tl2Rlo7pN3/YN197+8hqJ9slhfY+gaUQOAQIa8CPia7tf6+B/5AfuExuVGH1snRGXgcSsN/jHEwlB8i8g==</vt:lpwstr>
  </property>
</Properties>
</file>