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groups-up-to-110"/>
    <w:p>
      <w:pPr>
        <w:pStyle w:val="Heading2"/>
      </w:pPr>
      <w:r>
        <w:t xml:space="preserve">Lesson 8: Groups Up to 110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lengths that are longer than 100 cubes.</w:t>
      </w:r>
    </w:p>
    <w:bookmarkStart w:id="21" w:name="long-lengths-with-small-cubes"/>
    <w:p>
      <w:pPr>
        <w:pStyle w:val="Heading3"/>
      </w:pPr>
      <w:r>
        <w:t xml:space="preserve">8.1: Long Lengths with Small Cubes</w:t>
      </w:r>
    </w:p>
    <w:p>
      <w:pPr>
        <w:pStyle w:val="FirstParagraph"/>
      </w:pPr>
      <w:r>
        <w:t xml:space="preserve">Represent your measurement using drawings, numbers, or words.</w:t>
      </w:r>
    </w:p>
    <w:bookmarkEnd w:id="21"/>
    <w:bookmarkStart w:id="28" w:name="representations-of-large-numbers"/>
    <w:p>
      <w:pPr>
        <w:pStyle w:val="Heading3"/>
      </w:pPr>
      <w:r>
        <w:t xml:space="preserve">8.2: Representations of Large Numbers</w:t>
      </w:r>
    </w:p>
    <w:p>
      <w:pPr>
        <w:pStyle w:val="FirstParagraph"/>
      </w:pPr>
      <w:r>
        <w:drawing>
          <wp:inline>
            <wp:extent cx="5943600" cy="2011692"/>
            <wp:effectExtent b="0" l="0" r="0" t="0"/>
            <wp:docPr descr="Base ten diagram. 10 tens. 4 ones." title="" id="23" name="Picture"/>
            <a:graphic>
              <a:graphicData uri="http://schemas.openxmlformats.org/drawingml/2006/picture">
                <pic:pic>
                  <pic:nvPicPr>
                    <pic:cNvPr descr="/app/tmp/embedder-1671016552.811659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2022-12-14T11:15:53Z</dcterms:created>
  <dcterms:modified xsi:type="dcterms:W3CDTF">2022-12-14T11:15:53Z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UctKZfDb39qgAO6fuJNFj4YbJm+FwJbB9brKeAitOKF1zw88nFMnh2XkTYHp92nnv/Nf6ZFKy9pwMC8IfKI7/A==</vt:lpwstr>
  </property>
</Properties>
</file>