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46.png" ContentType="image/png"/>
  <Override PartName="/word/media/rId34.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ed3138159b97c4305b6e8458a0ab0e08b79e4a6"/>
    <w:p>
      <w:pPr>
        <w:pStyle w:val="Heading1"/>
      </w:pPr>
      <w:r>
        <w:t xml:space="preserve">Lesson 2: Represent Unit Fraction Multiplication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multiplication of unit fractions with diagrams and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expressions to represent multiplication of unit fractions.</w:t>
      </w:r>
    </w:p>
    <w:bookmarkEnd w:id="25"/>
    <w:bookmarkStart w:id="32" w:name="lesson-purpose"/>
    <w:p>
      <w:pPr>
        <w:pStyle w:val="Heading3"/>
      </w:pPr>
      <w:r>
        <w:t xml:space="preserve">Lesson Purpose</w:t>
      </w:r>
    </w:p>
    <w:p>
      <w:pPr>
        <w:pStyle w:val="FirstParagraph"/>
      </w:pPr>
      <w:r>
        <w:t xml:space="preserve">The purpose of this lesson is for students to write and evaluate expressions given a diagram that represents the product of two unit fractions.</w:t>
      </w:r>
    </w:p>
    <w:p>
      <w:pPr>
        <w:pStyle w:val="BodyText"/>
      </w:pPr>
      <w:r>
        <w:t xml:space="preserve">In the previous lesson, students drew diagrams to represent a unit fraction of another unit fraction in context. The purpose of this lesson is for students to draw diagrams representing products of unit fractions and to examine the relationship between expressions and diagrams in greater depth. Students examine different methods for representing unit fraction products with a diagram and they interpret how a diagram represents a given expression.</w:t>
      </w:r>
    </w:p>
    <w:p>
      <w:pPr>
        <w:pStyle w:val="BodyText"/>
      </w:pPr>
      <w:r>
        <w:t xml:space="preserve">This diagram represents both </w:t>
      </w:r>
      <m:oMath>
        <m:f>
          <m:fPr>
            <m:type m:val="bar"/>
          </m:fPr>
          <m:num>
            <m:r>
              <m:t>1</m:t>
            </m:r>
          </m:num>
          <m:den>
            <m:r>
              <m:t>4</m:t>
            </m:r>
          </m:den>
        </m:f>
        <m:r>
          <m:rPr>
            <m:sty m:val="p"/>
          </m:rPr>
          <m:t>×</m:t>
        </m:r>
        <m:f>
          <m:fPr>
            <m:type m:val="bar"/>
          </m:fPr>
          <m:num>
            <m:r>
              <m:t>1</m:t>
            </m:r>
          </m:num>
          <m:den>
            <m:r>
              <m:t>3</m:t>
            </m:r>
          </m:den>
        </m:f>
      </m:oMath>
      <w:r>
        <w:t xml:space="preserve"> </w:t>
      </w:r>
      <w:r>
        <w:t xml:space="preserve">and</w:t>
      </w:r>
      <w:r>
        <w:t xml:space="preserve"> </w:t>
      </w:r>
      <m:oMath>
        <m:f>
          <m:fPr>
            <m:type m:val="bar"/>
          </m:fPr>
          <m:num>
            <m:r>
              <m:t>1</m:t>
            </m:r>
          </m:num>
          <m:den>
            <m:r>
              <m:t>3</m:t>
            </m:r>
          </m:den>
        </m:f>
        <m:r>
          <m:rPr>
            <m:sty m:val="p"/>
          </m:rPr>
          <m:t>×</m:t>
        </m:r>
        <m:f>
          <m:fPr>
            <m:type m:val="bar"/>
          </m:fPr>
          <m:num>
            <m:r>
              <m:t>1</m:t>
            </m:r>
          </m:num>
          <m:den>
            <m:r>
              <m:t>4</m:t>
            </m:r>
          </m:den>
        </m:f>
      </m:oMath>
      <w:r>
        <w:t xml:space="preserve">. In future lessons, this diagram will be used to represent multiplication expressions and equations because of its flexibility. </w:t>
      </w:r>
    </w:p>
    <w:p>
      <w:pPr>
        <w:pStyle w:val="BodyText"/>
      </w:pPr>
      <w:r>
        <w:drawing>
          <wp:inline>
            <wp:extent cx="2228824" cy="2169401"/>
            <wp:effectExtent b="0" l="0" r="0" t="0"/>
            <wp:docPr descr="Diagram" title="" id="27" name="Picture"/>
            <a:graphic>
              <a:graphicData uri="http://schemas.openxmlformats.org/drawingml/2006/picture">
                <pic:pic>
                  <pic:nvPicPr>
                    <pic:cNvPr descr="/app/tmp/embedder-1671027756.0931003.png" id="28" name="Picture"/>
                    <pic:cNvPicPr>
                      <a:picLocks noChangeArrowheads="1" noChangeAspect="1"/>
                    </pic:cNvPicPr>
                  </pic:nvPicPr>
                  <pic:blipFill>
                    <a:blip r:embed="rId26"/>
                    <a:stretch>
                      <a:fillRect/>
                    </a:stretch>
                  </pic:blipFill>
                  <pic:spPr bwMode="auto">
                    <a:xfrm>
                      <a:off x="0" y="0"/>
                      <a:ext cx="2228824" cy="2169401"/>
                    </a:xfrm>
                    <a:prstGeom prst="rect">
                      <a:avLst/>
                    </a:prstGeom>
                    <a:noFill/>
                    <a:ln w="9525">
                      <a:noFill/>
                      <a:headEnd/>
                      <a:tailEnd/>
                    </a:ln>
                  </pic:spPr>
                </pic:pic>
              </a:graphicData>
            </a:graphic>
          </wp:inline>
        </w:drawing>
      </w:r>
    </w:p>
    <w:p>
      <w:pPr>
        <w:pStyle w:val="BodyText"/>
      </w:pPr>
      <w:r>
        <w:br/>
      </w:r>
      <w:r>
        <w:t xml:space="preserve">Student generated diagrams may be different.</w:t>
      </w:r>
    </w:p>
    <w:p>
      <w:pPr>
        <w:pStyle w:val="BodyText"/>
      </w:pPr>
      <w:r>
        <w:t xml:space="preserve">In this diagram, we see</w:t>
      </w:r>
      <w:r>
        <w:t xml:space="preserve"> </w:t>
      </w:r>
      <m:oMath>
        <m:f>
          <m:fPr>
            <m:type m:val="bar"/>
          </m:fPr>
          <m:num>
            <m:r>
              <m:t>1</m:t>
            </m:r>
          </m:num>
          <m:den>
            <m:r>
              <m:t>4</m:t>
            </m:r>
          </m:den>
        </m:f>
        <m:r>
          <m:rPr>
            <m:sty m:val="p"/>
          </m:rPr>
          <m:t>×</m:t>
        </m:r>
        <m:f>
          <m:fPr>
            <m:type m:val="bar"/>
          </m:fPr>
          <m:num>
            <m:r>
              <m:t>1</m:t>
            </m:r>
          </m:num>
          <m:den>
            <m:r>
              <m:t>3</m:t>
            </m:r>
          </m:den>
        </m:f>
      </m:oMath>
      <w:r>
        <w:t xml:space="preserve">. We would need to adapt the diagram to show</w:t>
      </w:r>
      <w:r>
        <w:t xml:space="preserve"> </w:t>
      </w:r>
      <m:oMath>
        <m:f>
          <m:fPr>
            <m:type m:val="bar"/>
          </m:fPr>
          <m:num>
            <m:r>
              <m:t>1</m:t>
            </m:r>
          </m:num>
          <m:den>
            <m:r>
              <m:t>3</m:t>
            </m:r>
          </m:den>
        </m:f>
        <m:r>
          <m:rPr>
            <m:sty m:val="p"/>
          </m:rPr>
          <m:t>×</m:t>
        </m:r>
        <m:f>
          <m:fPr>
            <m:type m:val="bar"/>
          </m:fPr>
          <m:num>
            <m:r>
              <m:t>1</m:t>
            </m:r>
          </m:num>
          <m:den>
            <m:r>
              <m:t>4</m:t>
            </m:r>
          </m:den>
        </m:f>
      </m:oMath>
      <w:r>
        <w:t xml:space="preserve"> </w:t>
      </w:r>
      <w:r>
        <w:t xml:space="preserve">more clearly. We could do this by extending the partition lines all the way across.</w:t>
      </w:r>
    </w:p>
    <w:p>
      <w:pPr>
        <w:pStyle w:val="BodyText"/>
      </w:pPr>
      <w:r>
        <w:drawing>
          <wp:inline>
            <wp:extent cx="2228824" cy="2169401"/>
            <wp:effectExtent b="0" l="0" r="0" t="0"/>
            <wp:docPr descr="Diagram." title="" id="30" name="Picture"/>
            <a:graphic>
              <a:graphicData uri="http://schemas.openxmlformats.org/drawingml/2006/picture">
                <pic:pic>
                  <pic:nvPicPr>
                    <pic:cNvPr descr="/app/tmp/embedder-1671027756.1514096.png" id="31" name="Picture"/>
                    <pic:cNvPicPr>
                      <a:picLocks noChangeArrowheads="1" noChangeAspect="1"/>
                    </pic:cNvPicPr>
                  </pic:nvPicPr>
                  <pic:blipFill>
                    <a:blip r:embed="rId29"/>
                    <a:stretch>
                      <a:fillRect/>
                    </a:stretch>
                  </pic:blipFill>
                  <pic:spPr bwMode="auto">
                    <a:xfrm>
                      <a:off x="0" y="0"/>
                      <a:ext cx="2228824" cy="2169401"/>
                    </a:xfrm>
                    <a:prstGeom prst="rect">
                      <a:avLst/>
                    </a:prstGeom>
                    <a:noFill/>
                    <a:ln w="9525">
                      <a:noFill/>
                      <a:headEnd/>
                      <a:tailEnd/>
                    </a:ln>
                  </pic:spPr>
                </pic:pic>
              </a:graphicData>
            </a:graphic>
          </wp:inline>
        </w:drawing>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7"/>
    <w:bookmarkStart w:id="38" w:name="instructional-routines"/>
    <w:p>
      <w:pPr>
        <w:pStyle w:val="Heading3"/>
      </w:pPr>
      <w:r>
        <w:t xml:space="preserve">Instructional Routines</w:t>
      </w:r>
    </w:p>
    <w:p>
      <w:pPr>
        <w:pStyle w:val="FirstParagraph"/>
      </w:pPr>
      <w:r>
        <w:t xml:space="preserve">MLR2 Collect and Display (Activity 2), Which One Doesn’t Belong? (Warm-up)</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Much is Shaded?</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45"/>
    <w:bookmarkStart w:id="49" w:name="student-facing-task-statement"/>
    <w:p>
      <w:pPr>
        <w:pStyle w:val="Heading3"/>
      </w:pPr>
      <w:r>
        <w:t xml:space="preserve">Student-facing Task Statement</w:t>
      </w:r>
    </w:p>
    <w:p>
      <w:pPr>
        <w:pStyle w:val="FirstParagraph"/>
      </w:pPr>
      <w:r>
        <w:t xml:space="preserve">Write a multiplication expression to represent the area of the shaded region.</w:t>
      </w:r>
    </w:p>
    <w:p>
      <w:pPr>
        <w:pStyle w:val="BodyText"/>
      </w:pPr>
      <w:r>
        <w:drawing>
          <wp:inline>
            <wp:extent cx="2228824" cy="2169401"/>
            <wp:effectExtent b="0" l="0" r="0" t="0"/>
            <wp:docPr descr="Diagram. Square, length and width, 1. Partitioned into 4 rows of 2 of the same size rectangles. 1 rectangle shaded. " title="" id="47" name="Picture"/>
            <a:graphic>
              <a:graphicData uri="http://schemas.openxmlformats.org/drawingml/2006/picture">
                <pic:pic>
                  <pic:nvPicPr>
                    <pic:cNvPr descr="/app/tmp/embedder-1671027756.2145083.png" id="48" name="Picture"/>
                    <pic:cNvPicPr>
                      <a:picLocks noChangeArrowheads="1" noChangeAspect="1"/>
                    </pic:cNvPicPr>
                  </pic:nvPicPr>
                  <pic:blipFill>
                    <a:blip r:embed="rId46"/>
                    <a:stretch>
                      <a:fillRect/>
                    </a:stretch>
                  </pic:blipFill>
                  <pic:spPr bwMode="auto">
                    <a:xfrm>
                      <a:off x="0" y="0"/>
                      <a:ext cx="2228824" cy="2169401"/>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m:oMath>
        <m:f>
          <m:fPr>
            <m:type m:val="bar"/>
          </m:fPr>
          <m:num>
            <m:r>
              <m:t>1</m:t>
            </m:r>
          </m:num>
          <m:den>
            <m:r>
              <m:t>4</m:t>
            </m:r>
          </m:den>
        </m:f>
        <m:r>
          <m:rPr>
            <m:sty m:val="p"/>
          </m:rPr>
          <m:t>×</m:t>
        </m:r>
        <m:f>
          <m:fPr>
            <m:type m:val="bar"/>
          </m:fPr>
          <m:num>
            <m:r>
              <m:t>1</m:t>
            </m:r>
          </m:num>
          <m:den>
            <m:r>
              <m:t>2</m:t>
            </m:r>
          </m:den>
        </m:f>
      </m:oMath>
      <w:r>
        <w:t xml:space="preserve"> </w:t>
      </w:r>
      <w:r>
        <w:t xml:space="preserve">or </w:t>
      </w:r>
      <m:oMath>
        <m:f>
          <m:fPr>
            <m:type m:val="bar"/>
          </m:fPr>
          <m:num>
            <m:r>
              <m:t>1</m:t>
            </m:r>
          </m:num>
          <m:den>
            <m:r>
              <m:t>2</m:t>
            </m:r>
          </m:den>
        </m:f>
        <m:r>
          <m:rPr>
            <m:sty m:val="p"/>
          </m:rPr>
          <m:t>×</m:t>
        </m:r>
        <m:f>
          <m:fPr>
            <m:type m:val="bar"/>
          </m:fPr>
          <m:num>
            <m:r>
              <m:t>1</m:t>
            </m:r>
          </m:num>
          <m:den>
            <m:r>
              <m:t>4</m:t>
            </m:r>
          </m:den>
        </m:f>
      </m:oMath>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46" Target="media/rId46.png" /><Relationship Type="http://schemas.openxmlformats.org/officeDocument/2006/relationships/image" Id="rId34" Target="media/rId34.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2022-12-14T14:22:37Z</dcterms:created>
  <dcterms:modified xsi:type="dcterms:W3CDTF">2022-12-14T14:22:37Z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zJgJFwWXa/KWssFhx75pYalnSler9a87WCqw3VrJbGvonExOaR+Tr1NWYn+W2kUJkI8z0b9/8iDdoFWtLsZvNg==</vt:lpwstr>
  </property>
</Properties>
</file>