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área-de-rectángulos"/>
    <w:p>
      <w:pPr>
        <w:pStyle w:val="Heading2"/>
      </w:pPr>
      <w:r>
        <w:t xml:space="preserve">Lección 4: Área de rectángulos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área de más rectángulos. </w:t>
      </w:r>
    </w:p>
    <w:bookmarkStart w:id="33" w:name="X0c822c6e730076fb2c5cb90ca70d2adeca960fc"/>
    <w:p>
      <w:pPr>
        <w:pStyle w:val="Heading3"/>
      </w:pPr>
      <w:r>
        <w:t xml:space="preserve">Calentamiento: Cuál es diferente: Área y arreglos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97290"/>
            <wp:effectExtent b="0" l="0" r="0" t="0"/>
            <wp:docPr descr="A rectangle partitioned into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0906.19767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97290"/>
            <wp:effectExtent b="0" l="0" r="0" t="0"/>
            <wp:docPr descr="A rectangle with 24 same size squares and a dot inside each." title="" id="25" name="Picture"/>
            <a:graphic>
              <a:graphicData uri="http://schemas.openxmlformats.org/drawingml/2006/picture">
                <pic:pic>
                  <pic:nvPicPr>
                    <pic:cNvPr descr="/app/tmp/embedder-1671060906.291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Array. 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60906.34992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5 groups of 4." title="" id="31" name="Picture"/>
            <a:graphic>
              <a:graphicData uri="http://schemas.openxmlformats.org/drawingml/2006/picture">
                <pic:pic>
                  <pic:nvPicPr>
                    <pic:cNvPr descr="/app/tmp/embedder-1671060906.42558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qué-hice"/>
    <w:p>
      <w:pPr>
        <w:pStyle w:val="Heading3"/>
      </w:pPr>
      <w:r>
        <w:t xml:space="preserve">4.1: ¿Qué hice?</w:t>
      </w:r>
    </w:p>
    <w:p>
      <w:pPr>
        <w:numPr>
          <w:ilvl w:val="0"/>
          <w:numId w:val="1002"/>
        </w:numPr>
      </w:pPr>
      <w:r>
        <w:t xml:space="preserve">¿Pueden tu compañero y tú dibujar el mismo rectángulo sin mirar el dibujo del otro?</w:t>
      </w:r>
    </w:p>
    <w:p>
      <w:pPr>
        <w:numPr>
          <w:ilvl w:val="1"/>
          <w:numId w:val="1003"/>
        </w:numPr>
        <w:pStyle w:val="Compact"/>
      </w:pPr>
      <w:r>
        <w:t xml:space="preserve">Compañero A: dibuja un rectángulo en una de las cuadrículas dadas. Descríbeselo a tu compañero sin decirle el número total de cuadrados.</w:t>
      </w:r>
    </w:p>
    <w:p>
      <w:pPr>
        <w:numPr>
          <w:ilvl w:val="1"/>
          <w:numId w:val="1003"/>
        </w:numPr>
        <w:pStyle w:val="Compact"/>
      </w:pPr>
      <w:r>
        <w:t xml:space="preserve">Compañero B: dibuja el rectángulo que te describió tu compañero.</w:t>
      </w:r>
    </w:p>
    <w:p>
      <w:pPr>
        <w:numPr>
          <w:ilvl w:val="0"/>
          <w:numId w:val="1002"/>
        </w:numPr>
        <w:pStyle w:val="Compact"/>
      </w:pPr>
      <w:r>
        <w:t xml:space="preserve">Coloquen sus dos rectángulos uno al lado del otro. Discutan: ¿En qué se parecen? ¿En qué son diferentes?</w:t>
      </w:r>
    </w:p>
    <w:p>
      <w:pPr>
        <w:numPr>
          <w:ilvl w:val="0"/>
          <w:numId w:val="1002"/>
        </w:numPr>
        <w:pStyle w:val="Compact"/>
      </w:pPr>
      <w:r>
        <w:t xml:space="preserve">Intercambien roles y repitan estos pasos.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A blank graph." title="" id="35" name="Picture"/>
            <a:graphic>
              <a:graphicData uri="http://schemas.openxmlformats.org/drawingml/2006/picture">
                <pic:pic>
                  <pic:nvPicPr>
                    <pic:cNvPr descr="/app/tmp/embedder-1671060906.4830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26092"/>
            <wp:effectExtent b="0" l="0" r="0" t="0"/>
            <wp:docPr descr="12 unit by 12 unit square grid." title="" id="38" name="Picture"/>
            <a:graphic>
              <a:graphicData uri="http://schemas.openxmlformats.org/drawingml/2006/picture">
                <pic:pic>
                  <pic:nvPicPr>
                    <pic:cNvPr descr="/app/tmp/embedder-1671060906.57480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6766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0906.66396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6" w:name="encontremos-el-área"/>
    <w:p>
      <w:pPr>
        <w:pStyle w:val="Heading3"/>
      </w:pPr>
      <w:r>
        <w:t xml:space="preserve">4.2: Encontremos el área</w:t>
      </w:r>
    </w:p>
    <w:p>
      <w:pPr>
        <w:pStyle w:val="FirstParagraph"/>
      </w:pPr>
      <w:r>
        <w:t xml:space="preserve">Encuentra el área de cada rectángulo e incluye las unidades. Explica o muestra tu razonamiento.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Rectangle partitioned into 2 rows of 9 of the same size squares." title="" id="45" name="Picture"/>
            <a:graphic>
              <a:graphicData uri="http://schemas.openxmlformats.org/drawingml/2006/picture">
                <pic:pic>
                  <pic:nvPicPr>
                    <pic:cNvPr descr="/app/tmp/embedder-1671060906.753692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Rectangle partitioned into 6 rows of 5 of the same size squares." title="" id="48" name="Picture"/>
            <a:graphic>
              <a:graphicData uri="http://schemas.openxmlformats.org/drawingml/2006/picture">
                <pic:pic>
                  <pic:nvPicPr>
                    <pic:cNvPr descr="/app/tmp/embedder-1671060906.827586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A rectangle partitioned into same size squares." title="" id="51" name="Picture"/>
            <a:graphic>
              <a:graphicData uri="http://schemas.openxmlformats.org/drawingml/2006/picture">
                <pic:pic>
                  <pic:nvPicPr>
                    <pic:cNvPr descr="/app/tmp/embedder-1671060906.953207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25892"/>
            <wp:effectExtent b="0" l="0" r="0" t="0"/>
            <wp:docPr descr="Diagram. Rectangle partitioned into 5 rows of 9 of the same size squares." title="" id="54" name="Picture"/>
            <a:graphic>
              <a:graphicData uri="http://schemas.openxmlformats.org/drawingml/2006/picture">
                <pic:pic>
                  <pic:nvPicPr>
                    <pic:cNvPr descr="/app/tmp/embedder-1671060907.054347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que el </w:t>
      </w:r>
      <w:r>
        <w:rPr>
          <w:bCs/>
          <w:b/>
        </w:rPr>
        <w:t xml:space="preserve">área</w:t>
      </w:r>
      <w:r>
        <w:t xml:space="preserve"> </w:t>
      </w:r>
      <w:r>
        <w:t xml:space="preserve">es la cantidad de espacio que cubre una figura.</w:t>
      </w:r>
    </w:p>
    <w:p>
      <w:pPr>
        <w:pStyle w:val="BodyText"/>
      </w:pPr>
      <w:r>
        <w:t xml:space="preserve">Vimos que podemos contar cuadrados para medir el área. Cuando recubrimos una figura, debemos asegurarnos de que los cuadrados cubran toda la figura sin espacios ni superposiciones.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Area diagram. Length, 6. Width, 4. " title="" id="58" name="Picture"/>
            <a:graphic>
              <a:graphicData uri="http://schemas.openxmlformats.org/drawingml/2006/picture">
                <pic:pic>
                  <pic:nvPicPr>
                    <pic:cNvPr descr="/app/tmp/embedder-1671060907.142660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Rectangle. 3 rows of 6 unit tiles. Tiles have gaps and overlaps." title="" id="61" name="Picture"/>
            <a:graphic>
              <a:graphicData uri="http://schemas.openxmlformats.org/drawingml/2006/picture">
                <pic:pic>
                  <pic:nvPicPr>
                    <pic:cNvPr descr="/app/tmp/embedder-1671060907.246009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área se mide en unidades cuadradas. El área de este rectángulo recubierto es 24 unidades cuadradas.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2022-12-14T23:35:07Z</dcterms:created>
  <dcterms:modified xsi:type="dcterms:W3CDTF">2022-12-14T23:35:07Z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sNh6JMjFxbdI80kaXku9KDbw76FyIB2K+Cvwg1Z55z6U3D99pE096o0X6gQPL5FADxiWJ2aqQJF9oRXzInbkYw==</vt:lpwstr>
  </property>
</Properties>
</file>