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7bb77a160b4b4b9b6999e5c9f86fef0ea87a570"/>
    <w:p>
      <w:pPr>
        <w:pStyle w:val="Heading1"/>
      </w:pPr>
      <w:r>
        <w:t xml:space="preserve">Lesson 15: Grupos iguales, números más grandes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3.MD.C.7.c, 3.OA.A.3, 3.OA.B.5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Multiply within 100, where one factor is a teen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algunos problemas de grupos iguales que tienen números más grandes.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multiply within 100, where one factor is a teen number.   </w:t>
      </w:r>
    </w:p>
    <w:p>
      <w:pPr>
        <w:pStyle w:val="BodyText"/>
      </w:pPr>
      <w:r>
        <w:t xml:space="preserve">The work of this lesson connects to previous work because students have seen a variety of ways to represent and solve problems in which one of the factors is a teen number. In this lesson students use their choice of strategy and representation to solve these types of problems. Students participate in a gallery walk to highlight different ways that they solved problems with a synthesis that highlights the area diagram to represent one of the problems. Students’ attention is drawn to scaling of area diagrams during the warm-up. While it’s not important that student representations are exact, it is important that any area diagrams presented to students are to scale.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Sticky notes: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question do you wish you had asked today? When and why should you have asked it?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Encuentra el área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3.OA.A.3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Un rectángulo mide 6 pies por 15 pies. ¿Cuál es el área del rectángulo? Explica o muestra tu razonamiento.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90 square feet. Sample response: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60</m:t>
        </m:r>
      </m:oMath>
      <w:r>
        <w:t xml:space="preserve">,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30</m:t>
        </m:r>
      </m:oMath>
      <w:r>
        <w:t xml:space="preserve">,</w:t>
      </w:r>
      <w:r>
        <w:t xml:space="preserve"> </w:t>
      </w:r>
      <m:oMath>
        <m:r>
          <m:t>60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90</m:t>
        </m:r>
      </m:oMath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2022-12-14T23:58:47Z</dcterms:created>
  <dcterms:modified xsi:type="dcterms:W3CDTF">2022-12-14T23:58:47Z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Bgogom5oylSITAx6Lq72Pyk44+Ur3jpD6ZRZkZGnJl4iDmX7AuAyCU2or2R/ytpXENCaYz9UZ1hsHrzh5aglAw==</vt:lpwstr>
  </property>
</Properties>
</file>