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6-día-3-de-centros"/>
    <w:p>
      <w:pPr>
        <w:pStyle w:val="Heading1"/>
      </w:pPr>
      <w:r>
        <w:t xml:space="preserve">Lesson 16: Día 3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p>
      <w:pPr>
        <w:numPr>
          <w:ilvl w:val="0"/>
          <w:numId w:val="1001"/>
        </w:numPr>
        <w:pStyle w:val="Compact"/>
      </w:pPr>
      <w:r>
        <w:t xml:space="preserve">Tell and solve math stories based on a representation.</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In Activity 1, students learn a new stage in the Capture Squares center. In this stage students subtract numbers within 10. In Activity 2, students choose an activity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Capture Squares Stage 2 Gameboard,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Who got to do math today in class? How can you adjust norms, routines, or groups so all students do math during centers?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2022-12-14T22:57:51Z</dcterms:created>
  <dcterms:modified xsi:type="dcterms:W3CDTF">2022-12-14T22:57:51Z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m2kZaG1ZQJ5KmqT897FNemWKzdGAYSLhAaguQfitrdi/bVwxAdG4w49+B+Km1WESXGK0V5Trf/qEIssxjKKuhQ==</vt:lpwstr>
  </property>
</Properties>
</file>