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834661a2a69d0ddecd6018fd072fc82e626fc28"/>
    <w:p>
      <w:pPr>
        <w:pStyle w:val="Heading1"/>
      </w:pPr>
      <w:r>
        <w:t xml:space="preserve">Lesson 4: Construyamos fracciones a partir de fracciones unitarias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3.NF.A.1, 3.OA.C.7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Build non-unit fractions and whole numbers from unit fractions.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Construyamos otras fracciones a partir de fracciones unitarias.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build non-unit fractions and whole numbers from unit fractions.</w:t>
      </w:r>
    </w:p>
    <w:p>
      <w:pPr>
        <w:pStyle w:val="BodyText"/>
      </w:pPr>
      <w:r>
        <w:t xml:space="preserve">In the previous lesson, students named non-unit fractions and made sense of the notation used to write them. In this lesson, students play a game in which they build non-unit fractions from unit fractions (for example, they try to collect enough cards showing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). They record these fractions on a fraction strip diagram. Then, students partition and shade diagrams to represent situations involving fractional lengths and consider the location of the endpoint of a fractional length. This will be helpful in subsequent lessons, when students represent fractions on a number line.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Colored pencils: Activity 1</w:t>
      </w:r>
    </w:p>
    <w:p>
      <w:pPr>
        <w:numPr>
          <w:ilvl w:val="0"/>
          <w:numId w:val="1005"/>
        </w:numPr>
        <w:pStyle w:val="Compact"/>
      </w:pPr>
      <w:r>
        <w:t xml:space="preserve">Folders: Activity 1</w:t>
      </w:r>
    </w:p>
    <w:p>
      <w:pPr>
        <w:numPr>
          <w:ilvl w:val="0"/>
          <w:numId w:val="1005"/>
        </w:numPr>
        <w:pStyle w:val="Compact"/>
      </w:pPr>
      <w:r>
        <w:t xml:space="preserve">Materials for creating a visual display: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Secret Fractions Stage 1 Cards (groups of 2): Activity 1</w:t>
      </w:r>
    </w:p>
    <w:p>
      <w:pPr>
        <w:numPr>
          <w:ilvl w:val="0"/>
          <w:numId w:val="1006"/>
        </w:numPr>
        <w:pStyle w:val="Compact"/>
      </w:pPr>
      <w:r>
        <w:t xml:space="preserve">Secret Fractions Stage 1 Gameboard, Spanish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having visual representations help students think about building fractions from unit fractions in today’s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Representa una fracción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Esta tira representa 1 unidad. Parte el diagrama y coloréalo para representar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1920239" cy="320045"/>
            <wp:effectExtent b="0" l="0" r="0" t="0"/>
            <wp:docPr descr="Diagram. Rectangle." title="" id="47" name="Picture"/>
            <a:graphic>
              <a:graphicData uri="http://schemas.openxmlformats.org/drawingml/2006/picture">
                <pic:pic>
                  <pic:nvPicPr>
                    <pic:cNvPr descr="/app/tmp/embedder-1671062547.397493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1920239" cy="320045"/>
            <wp:effectExtent b="0" l="0" r="0" t="0"/>
            <wp:docPr descr="Diagram." title="" id="51" name="Picture"/>
            <a:graphic>
              <a:graphicData uri="http://schemas.openxmlformats.org/drawingml/2006/picture">
                <pic:pic>
                  <pic:nvPicPr>
                    <pic:cNvPr descr="/app/tmp/embedder-1671062547.48461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2022-12-15T00:02:28Z</dcterms:created>
  <dcterms:modified xsi:type="dcterms:W3CDTF">2022-12-15T00:02:28Z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ZfhaqcBE9XwXUJqhvyEIpNsoSjUj/VJEDPnQT3/cNL1B/B/wrMwNIdK0Ob/uRSTM4sAzszd3D1+JczU/C9M34A==</vt:lpwstr>
  </property>
</Properties>
</file>