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a424b13b150846a15474d49af91cda2de2a185a"/>
    <w:p>
      <w:pPr>
        <w:pStyle w:val="Heading1"/>
      </w:pPr>
      <w:r>
        <w:t xml:space="preserve">Lesson 2: Representemos datos y resolvamos problemas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2.MD.D.10, 2.OA.C.3</w:t>
            </w:r>
          </w:p>
        </w:tc>
      </w:tr>
      <w:tr>
        <w:tc>
          <w:tcPr/>
          <w:p>
            <w:pPr>
              <w:pStyle w:val="Compact"/>
              <w:jc w:val="left"/>
            </w:pPr>
            <w:r>
              <w:t xml:space="preserve">Addressing</w:t>
            </w:r>
          </w:p>
        </w:tc>
        <w:tc>
          <w:tcPr/>
          <w:p>
            <w:pPr>
              <w:pStyle w:val="Compact"/>
              <w:jc w:val="left"/>
            </w:pPr>
            <w:r>
              <w:t xml:space="preserve">3.MD.B, 3.MD.B.3</w:t>
            </w:r>
          </w:p>
        </w:tc>
      </w:tr>
      <w:tr>
        <w:tc>
          <w:tcPr/>
          <w:p>
            <w:pPr>
              <w:pStyle w:val="Compact"/>
              <w:jc w:val="left"/>
            </w:pPr>
            <w:r>
              <w:t xml:space="preserve">Building Towards</w:t>
            </w:r>
          </w:p>
        </w:tc>
        <w:tc>
          <w:tcPr/>
          <w:p>
            <w:pPr>
              <w:pStyle w:val="Compact"/>
              <w:jc w:val="left"/>
            </w:pPr>
            <w:r>
              <w:t xml:space="preserve">3.MD.B.3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data using bar graphs and picture graphs.</w:t>
      </w:r>
    </w:p>
    <w:p>
      <w:pPr>
        <w:numPr>
          <w:ilvl w:val="0"/>
          <w:numId w:val="1001"/>
        </w:numPr>
        <w:pStyle w:val="Compact"/>
      </w:pPr>
      <w:r>
        <w:t xml:space="preserve">Solve one- and two-step problems using addition and subtraction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Hagamos gráficas y respondamos preguntas.</w:t>
      </w:r>
    </w:p>
    <w:bookmarkEnd w:id="25"/>
    <w:bookmarkStart w:id="26" w:name="lesson-purpose"/>
    <w:p>
      <w:pPr>
        <w:pStyle w:val="Heading3"/>
      </w:pPr>
      <w:r>
        <w:t xml:space="preserve">Lesson Purpose</w:t>
      </w:r>
    </w:p>
    <w:p>
      <w:pPr>
        <w:pStyle w:val="FirstParagraph"/>
      </w:pPr>
      <w:r>
        <w:t xml:space="preserve">The purpose of this lesson is for students to solve one- and two-step problems about data represented in bar graphs.</w:t>
      </w:r>
    </w:p>
    <w:p>
      <w:pPr>
        <w:pStyle w:val="BodyText"/>
      </w:pPr>
      <w:r>
        <w:t xml:space="preserve">Students solved one-step problems about data in grade 2. In this lesson, students first create a picture graph and bar graph that represent how they get home from school. Then, they solve one- and two- step “how many more” and “how many fewer” problems using data presented in a bar graph. Consider launching the lesson with a read-a-loud of</w:t>
      </w:r>
      <w:r>
        <w:t xml:space="preserve"> </w:t>
      </w:r>
      <w:r>
        <w:rPr>
          <w:iCs/>
          <w:i/>
        </w:rPr>
        <w:t xml:space="preserve">Last Stop on Market Street</w:t>
      </w:r>
      <w:r>
        <w:t xml:space="preserve"> </w:t>
      </w:r>
      <w:r>
        <w:t xml:space="preserve">by Matt de la Peña and Christian Robinson.</w:t>
      </w:r>
    </w:p>
    <w:p>
      <w:pPr>
        <w:pStyle w:val="BodyText"/>
      </w:pPr>
      <w:r>
        <w:rPr>
          <w:bCs/>
          <w:b/>
        </w:rPr>
        <w:t xml:space="preserve">Math Community</w:t>
      </w:r>
    </w:p>
    <w:p>
      <w:pPr>
        <w:pStyle w:val="BodyText"/>
      </w:pPr>
      <w:r>
        <w:t xml:space="preserve">Tell students they will have a chance to revise their math community ideas at the end of this lesson.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Preguntas sobre una gráfica de barras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3.MD.B.3</w:t>
            </w:r>
          </w:p>
        </w:tc>
      </w:tr>
      <w:tr>
        <w:tc>
          <w:tcPr/>
          <w:p>
            <w:pPr>
              <w:pStyle w:val="Compact"/>
              <w:jc w:val="left"/>
            </w:pPr>
            <w:r>
              <w:t xml:space="preserve">Building Towards</w:t>
            </w:r>
          </w:p>
        </w:tc>
        <w:tc>
          <w:tcPr/>
          <w:p>
            <w:pPr>
              <w:pStyle w:val="Compact"/>
              <w:jc w:val="left"/>
            </w:pPr>
            <w:r>
              <w:t xml:space="preserve">3.MD.B.3</w:t>
            </w:r>
          </w:p>
        </w:tc>
      </w:tr>
    </w:tbl>
    <w:bookmarkEnd w:id="44"/>
    <w:bookmarkStart w:id="48" w:name="student-facing-task-statement"/>
    <w:p>
      <w:pPr>
        <w:pStyle w:val="Heading3"/>
      </w:pPr>
      <w:r>
        <w:t xml:space="preserve">Student-facing Task Statement</w:t>
      </w:r>
    </w:p>
    <w:p>
      <w:pPr>
        <w:pStyle w:val="FirstParagraph"/>
      </w:pPr>
      <w:r>
        <w:t xml:space="preserve">A unos estudiantes les preguntaron: “¿Cuál es tu lugar favorito para leer?”.</w:t>
      </w:r>
    </w:p>
    <w:p>
      <w:pPr>
        <w:pStyle w:val="BodyText"/>
      </w:pPr>
      <w:r>
        <w:t xml:space="preserve">Sus respuestas se muestran en esta gráfica de barras:</w:t>
      </w:r>
    </w:p>
    <w:p>
      <w:pPr>
        <w:pStyle w:val="BodyText"/>
      </w:pPr>
      <w:r>
        <w:drawing>
          <wp:inline>
            <wp:extent cx="2861449" cy="2482253"/>
            <wp:effectExtent b="0" l="0" r="0" t="0"/>
            <wp:docPr descr="Bar graph. Favorite Place to Read. Vertical axis labeled number of students from 0 to 10 by 1s. Horizontal axis labeled place: park, home, school, library. Height of bar: park, 8. home, 5. school, 4. library, 2." title="" id="46" name="Picture"/>
            <a:graphic>
              <a:graphicData uri="http://schemas.openxmlformats.org/drawingml/2006/picture">
                <pic:pic>
                  <pic:nvPicPr>
                    <pic:cNvPr descr="/app/tmp/embedder-1671062054.5932608.png" id="47" name="Picture"/>
                    <pic:cNvPicPr>
                      <a:picLocks noChangeArrowheads="1" noChangeAspect="1"/>
                    </pic:cNvPicPr>
                  </pic:nvPicPr>
                  <pic:blipFill>
                    <a:blip r:embed="rId45"/>
                    <a:stretch>
                      <a:fillRect/>
                    </a:stretch>
                  </pic:blipFill>
                  <pic:spPr bwMode="auto">
                    <a:xfrm>
                      <a:off x="0" y="0"/>
                      <a:ext cx="2861449" cy="2482253"/>
                    </a:xfrm>
                    <a:prstGeom prst="rect">
                      <a:avLst/>
                    </a:prstGeom>
                    <a:noFill/>
                    <a:ln w="9525">
                      <a:noFill/>
                      <a:headEnd/>
                      <a:tailEnd/>
                    </a:ln>
                  </pic:spPr>
                </pic:pic>
              </a:graphicData>
            </a:graphic>
          </wp:inline>
        </w:drawing>
      </w:r>
    </w:p>
    <w:p>
      <w:pPr>
        <w:numPr>
          <w:ilvl w:val="0"/>
          <w:numId w:val="1006"/>
        </w:numPr>
        <w:pStyle w:val="Compact"/>
      </w:pPr>
      <w:r>
        <w:t xml:space="preserve">¿Cuántos estudiantes más escogieron el parque que su casa como su lugar favorito para leer?</w:t>
      </w:r>
    </w:p>
    <w:p>
      <w:pPr>
        <w:numPr>
          <w:ilvl w:val="0"/>
          <w:numId w:val="1006"/>
        </w:numPr>
        <w:pStyle w:val="Compact"/>
      </w:pPr>
      <w:r>
        <w:t xml:space="preserve">Verdadero o falso: A más estudiantes les gusta leer en la escuela o en la biblioteca que en el parque. Explica o muestra cómo pensaste.</w:t>
      </w:r>
    </w:p>
    <w:bookmarkEnd w:id="48"/>
    <w:bookmarkStart w:id="49" w:name="student-responses"/>
    <w:p>
      <w:pPr>
        <w:pStyle w:val="Heading3"/>
      </w:pPr>
      <w:r>
        <w:t xml:space="preserve">Student Responses</w:t>
      </w:r>
    </w:p>
    <w:p>
      <w:pPr>
        <w:numPr>
          <w:ilvl w:val="0"/>
          <w:numId w:val="1007"/>
        </w:numPr>
        <w:pStyle w:val="Compact"/>
      </w:pPr>
      <w:r>
        <w:t xml:space="preserve">3 more students</w:t>
      </w:r>
    </w:p>
    <w:p>
      <w:pPr>
        <w:numPr>
          <w:ilvl w:val="0"/>
          <w:numId w:val="1007"/>
        </w:numPr>
        <w:pStyle w:val="Compact"/>
      </w:pPr>
      <w:r>
        <w:t xml:space="preserve">False. Sample response: Six students</w:t>
      </w:r>
      <w:r>
        <w:t xml:space="preserve"> </w:t>
      </w:r>
      <m:oMath>
        <m:d>
          <m:dPr>
            <m:begChr m:val="("/>
            <m:endChr m:val=")"/>
            <m:sepChr m:val=""/>
            <m:grow/>
          </m:dPr>
          <m:e>
            <m:r>
              <m:t>4</m:t>
            </m:r>
            <m:r>
              <m:rPr>
                <m:sty m:val="p"/>
              </m:rPr>
              <m:t>+</m:t>
            </m:r>
            <m:r>
              <m:t>2</m:t>
            </m:r>
          </m:e>
        </m:d>
      </m:oMath>
      <w:r>
        <w:t xml:space="preserve"> </w:t>
      </w:r>
      <w:r>
        <w:t xml:space="preserve">like to read at the school or library, and 8 students like to read at the park.</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2022-12-14T23:54:15Z</dcterms:created>
  <dcterms:modified xsi:type="dcterms:W3CDTF">2022-12-14T23:54:15Z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XdPMjJMVGtqYTH30WlJjUG3a0VKhvZP3/lpNSKYknlJ514nV/53ih12o3uoLNk84VDKo1LU3zux70Kg40iudDw==</vt:lpwstr>
  </property>
</Properties>
</file>