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5.png" ContentType="image/png"/>
  <Override PartName="/word/media/rId29.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bb9b92a1470da8d5ef7eed05db619a9fbe597"/>
    <w:p>
      <w:pPr>
        <w:pStyle w:val="Heading2"/>
      </w:pPr>
      <w:r>
        <w:t xml:space="preserve">Lesson 10: The Distributive Property, Part 2</w:t>
      </w:r>
    </w:p>
    <w:bookmarkEnd w:id="20"/>
    <w:p>
      <w:pPr>
        <w:pStyle w:val="FirstParagraph"/>
      </w:pPr>
      <w:r>
        <w:t xml:space="preserve">Let's use rectangles to understand the distributive property with variables.</w:t>
      </w:r>
    </w:p>
    <w:bookmarkStart w:id="21" w:name="possible-areas"/>
    <w:p>
      <w:pPr>
        <w:pStyle w:val="Heading3"/>
      </w:pPr>
      <w:r>
        <w:t xml:space="preserve">10.1: Possible Areas</w:t>
      </w:r>
    </w:p>
    <w:p>
      <w:pPr>
        <w:numPr>
          <w:ilvl w:val="0"/>
          <w:numId w:val="1001"/>
        </w:numPr>
        <w:pStyle w:val="Compact"/>
      </w:pPr>
      <w:r>
        <w:t xml:space="preserve">A rectangle has a width of 4 units and a length of</w:t>
      </w:r>
      <w:r>
        <w:t xml:space="preserve"> </w:t>
      </w:r>
      <m:oMath>
        <m:r>
          <m:t>m</m:t>
        </m:r>
      </m:oMath>
      <w:r>
        <w:t xml:space="preserve"> </w:t>
      </w:r>
      <w:r>
        <w:t xml:space="preserve">units. Write an expression for the area of this rectangle.</w:t>
      </w:r>
    </w:p>
    <w:p>
      <w:pPr>
        <w:numPr>
          <w:ilvl w:val="0"/>
          <w:numId w:val="1001"/>
        </w:numPr>
      </w:pPr>
      <w:r>
        <w:t xml:space="preserve">What is the area of the rectangle if</w:t>
      </w:r>
      <w:r>
        <w:t xml:space="preserve"> </w:t>
      </w:r>
      <m:oMath>
        <m:r>
          <m:t>m</m:t>
        </m:r>
      </m:oMath>
      <w:r>
        <w:t xml:space="preserve"> </w:t>
      </w:r>
      <w:r>
        <w:t xml:space="preserve">is:</w:t>
      </w:r>
    </w:p>
    <w:p>
      <w:pPr>
        <w:numPr>
          <w:ilvl w:val="0"/>
          <w:numId w:val="1000"/>
        </w:numPr>
      </w:pPr>
      <w:r>
        <w:t xml:space="preserve">3 units?</w:t>
      </w:r>
    </w:p>
    <w:p>
      <w:pPr>
        <w:numPr>
          <w:ilvl w:val="0"/>
          <w:numId w:val="1000"/>
        </w:numPr>
      </w:pPr>
      <w:r>
        <w:t xml:space="preserve">2.2 units?</w:t>
      </w:r>
    </w:p>
    <w:p>
      <w:pPr>
        <w:numPr>
          <w:ilvl w:val="0"/>
          <w:numId w:val="1000"/>
        </w:numPr>
      </w:pPr>
      <m:oMath>
        <m:f>
          <m:fPr>
            <m:type m:val="bar"/>
          </m:fPr>
          <m:num>
            <m:r>
              <m:t>1</m:t>
            </m:r>
          </m:num>
          <m:den>
            <m:r>
              <m:t>5</m:t>
            </m:r>
          </m:den>
        </m:f>
      </m:oMath>
      <w:r>
        <w:t xml:space="preserve"> </w:t>
      </w:r>
      <w:r>
        <w:t xml:space="preserve">unit?</w:t>
      </w:r>
    </w:p>
    <w:p>
      <w:pPr>
        <w:numPr>
          <w:ilvl w:val="0"/>
          <w:numId w:val="1001"/>
        </w:numPr>
        <w:pStyle w:val="Compact"/>
      </w:pPr>
      <w:r>
        <w:t xml:space="preserve">Could the area of this rectangle be 11 square units? Why or why not?</w:t>
      </w:r>
    </w:p>
    <w:bookmarkEnd w:id="21"/>
    <w:bookmarkStart w:id="28" w:name="X965148d435d96322fae003b1f184d5aec5f24dc"/>
    <w:p>
      <w:pPr>
        <w:pStyle w:val="Heading3"/>
      </w:pPr>
      <w:r>
        <w:t xml:space="preserve">10.2: Partitioned Rectangles When Lengths are Unknown</w:t>
      </w:r>
    </w:p>
    <w:p>
      <w:pPr>
        <w:numPr>
          <w:ilvl w:val="0"/>
          <w:numId w:val="1002"/>
        </w:numPr>
      </w:pPr>
      <w:r>
        <w:t xml:space="preserve">Here are two rectangles. The length and width of one rectangle are 8 and 5. The width of the other rectangle is 5, but its length is unknown so we labeled it</w:t>
      </w:r>
      <w:r>
        <w:t xml:space="preserve"> </w:t>
      </w:r>
      <m:oMath>
        <m:r>
          <m:t>x</m:t>
        </m:r>
      </m:oMath>
      <w:r>
        <w:t xml:space="preserve">.</w:t>
      </w:r>
    </w:p>
    <w:p>
      <w:pPr>
        <w:numPr>
          <w:ilvl w:val="0"/>
          <w:numId w:val="1000"/>
        </w:numPr>
      </w:pPr>
      <w:r>
        <w:t xml:space="preserve">Write an expression for the sum of the areas of the two rectangles.</w:t>
      </w:r>
    </w:p>
    <w:p>
      <w:pPr>
        <w:numPr>
          <w:ilvl w:val="0"/>
          <w:numId w:val="1000"/>
        </w:numPr>
        <w:pStyle w:val="Compact"/>
      </w:pPr>
      <w:r>
        <w:drawing>
          <wp:inline>
            <wp:extent cx="3455759" cy="1253859"/>
            <wp:effectExtent b="0" l="0" r="0" t="0"/>
            <wp:docPr descr="Two rectangles. The first rectangle has a height of 5 and width of x. The second rectangle has a height of 5 and width of 8." title="" id="23" name="Picture"/>
            <a:graphic>
              <a:graphicData uri="http://schemas.openxmlformats.org/drawingml/2006/picture">
                <pic:pic>
                  <pic:nvPicPr>
                    <pic:cNvPr descr="/app/tmp/embedder-1671075714.94643.png" id="24" name="Picture"/>
                    <pic:cNvPicPr>
                      <a:picLocks noChangeArrowheads="1" noChangeAspect="1"/>
                    </pic:cNvPicPr>
                  </pic:nvPicPr>
                  <pic:blipFill>
                    <a:blip r:embed="rId22"/>
                    <a:stretch>
                      <a:fillRect/>
                    </a:stretch>
                  </pic:blipFill>
                  <pic:spPr bwMode="auto">
                    <a:xfrm>
                      <a:off x="0" y="0"/>
                      <a:ext cx="3455759" cy="1253859"/>
                    </a:xfrm>
                    <a:prstGeom prst="rect">
                      <a:avLst/>
                    </a:prstGeom>
                    <a:noFill/>
                    <a:ln w="9525">
                      <a:noFill/>
                      <a:headEnd/>
                      <a:tailEnd/>
                    </a:ln>
                  </pic:spPr>
                </pic:pic>
              </a:graphicData>
            </a:graphic>
          </wp:inline>
        </w:drawing>
      </w:r>
    </w:p>
    <w:p>
      <w:pPr>
        <w:numPr>
          <w:ilvl w:val="0"/>
          <w:numId w:val="1002"/>
        </w:numPr>
      </w:pPr>
      <w:r>
        <w:t xml:space="preserve">The two rectangles can be composed into one larger rectangle as shown.</w:t>
      </w:r>
    </w:p>
    <w:p>
      <w:pPr>
        <w:numPr>
          <w:ilvl w:val="0"/>
          <w:numId w:val="1000"/>
        </w:numPr>
      </w:pPr>
      <w:r>
        <w:t xml:space="preserve">What are the width and length of the new, large rectangle?</w:t>
      </w:r>
    </w:p>
    <w:p>
      <w:pPr>
        <w:numPr>
          <w:ilvl w:val="0"/>
          <w:numId w:val="1000"/>
        </w:numPr>
        <w:pStyle w:val="Compact"/>
      </w:pPr>
      <w:r>
        <w:drawing>
          <wp:inline>
            <wp:extent cx="2966448" cy="1253859"/>
            <wp:effectExtent b="0" l="0" r="0" t="0"/>
            <wp:docPr descr="Rectangle diagram. The first rectangle has a height of 5 and width of x. Attached is a second rectangle with the same height and width of 8." title="" id="26" name="Picture"/>
            <a:graphic>
              <a:graphicData uri="http://schemas.openxmlformats.org/drawingml/2006/picture">
                <pic:pic>
                  <pic:nvPicPr>
                    <pic:cNvPr descr="/app/tmp/embedder-1671075714.9839444.png" id="27" name="Picture"/>
                    <pic:cNvPicPr>
                      <a:picLocks noChangeArrowheads="1" noChangeAspect="1"/>
                    </pic:cNvPicPr>
                  </pic:nvPicPr>
                  <pic:blipFill>
                    <a:blip r:embed="rId25"/>
                    <a:stretch>
                      <a:fillRect/>
                    </a:stretch>
                  </pic:blipFill>
                  <pic:spPr bwMode="auto">
                    <a:xfrm>
                      <a:off x="0" y="0"/>
                      <a:ext cx="2966448" cy="1253859"/>
                    </a:xfrm>
                    <a:prstGeom prst="rect">
                      <a:avLst/>
                    </a:prstGeom>
                    <a:noFill/>
                    <a:ln w="9525">
                      <a:noFill/>
                      <a:headEnd/>
                      <a:tailEnd/>
                    </a:ln>
                  </pic:spPr>
                </pic:pic>
              </a:graphicData>
            </a:graphic>
          </wp:inline>
        </w:drawing>
      </w:r>
    </w:p>
    <w:p>
      <w:pPr>
        <w:numPr>
          <w:ilvl w:val="0"/>
          <w:numId w:val="1002"/>
        </w:numPr>
        <w:pStyle w:val="Compact"/>
      </w:pPr>
      <w:r>
        <w:t xml:space="preserve">Write an expression for the total area of the large rectangle as the product of its width and its length.</w:t>
      </w:r>
    </w:p>
    <w:bookmarkEnd w:id="28"/>
    <w:bookmarkStart w:id="36" w:name="areas-of-partitioned-rectangles"/>
    <w:p>
      <w:pPr>
        <w:pStyle w:val="Heading3"/>
      </w:pPr>
      <w:r>
        <w:t xml:space="preserve">10.3: Areas of Partitioned Rectangles</w:t>
      </w:r>
    </w:p>
    <w:p>
      <w:pPr>
        <w:pStyle w:val="FirstParagraph"/>
      </w:pPr>
      <w:r>
        <w:t xml:space="preserve">For each rectangle, write expressions for the length and width and two expressions for the total area. Record them in the table. Check your expressions in each row with your group and discuss any disagreements.</w:t>
      </w:r>
    </w:p>
    <w:p>
      <w:pPr>
        <w:pStyle w:val="BodyText"/>
      </w:pPr>
      <w:r>
        <w:drawing>
          <wp:inline>
            <wp:extent cx="5046020" cy="1770694"/>
            <wp:effectExtent b="0" l="0" r="0" t="0"/>
            <wp:docPr descr="Six different sized rectangles labeled A, B, C, D, E, and F." title="" id="30" name="Picture"/>
            <a:graphic>
              <a:graphicData uri="http://schemas.openxmlformats.org/drawingml/2006/picture">
                <pic:pic>
                  <pic:nvPicPr>
                    <pic:cNvPr descr="/app/tmp/embedder-1671075715.0267048.png" id="31" name="Picture"/>
                    <pic:cNvPicPr>
                      <a:picLocks noChangeArrowheads="1" noChangeAspect="1"/>
                    </pic:cNvPicPr>
                  </pic:nvPicPr>
                  <pic:blipFill>
                    <a:blip r:embed="rId29"/>
                    <a:stretch>
                      <a:fillRect/>
                    </a:stretch>
                  </pic:blipFill>
                  <pic:spPr bwMode="auto">
                    <a:xfrm>
                      <a:off x="0" y="0"/>
                      <a:ext cx="5046020" cy="1770694"/>
                    </a:xfrm>
                    <a:prstGeom prst="rect">
                      <a:avLst/>
                    </a:prstGeom>
                    <a:noFill/>
                    <a:ln w="9525">
                      <a:noFill/>
                      <a:headEnd/>
                      <a:tailEnd/>
                    </a:ln>
                  </pic:spPr>
                </pic:pic>
              </a:graphicData>
            </a:graphic>
          </wp:inline>
        </w:drawing>
      </w:r>
    </w:p>
    <w:p>
      <w:pPr>
        <w:pStyle w:val="BodyText"/>
      </w:pPr>
      <w:r>
        <w:t xml:space="preserve"> </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rectangle</w:t>
            </w:r>
          </w:p>
        </w:tc>
        <w:tc>
          <w:tcPr/>
          <w:p>
            <w:pPr>
              <w:pStyle w:val="Compact"/>
              <w:jc w:val="left"/>
            </w:pPr>
            <w:r>
              <w:t xml:space="preserve">  width  </w:t>
            </w:r>
          </w:p>
        </w:tc>
        <w:tc>
          <w:tcPr/>
          <w:p>
            <w:pPr>
              <w:pStyle w:val="Compact"/>
              <w:jc w:val="left"/>
            </w:pPr>
            <w:r>
              <w:t xml:space="preserve">  length  </w:t>
            </w:r>
          </w:p>
        </w:tc>
        <w:tc>
          <w:tcPr/>
          <w:p>
            <w:pPr>
              <w:pStyle w:val="Compact"/>
              <w:jc w:val="left"/>
            </w:pPr>
            <w:r>
              <w:t xml:space="preserve">area as a product of</w:t>
            </w:r>
            <w:r>
              <w:br/>
            </w:r>
            <w:r>
              <w:t xml:space="preserve">width times length</w:t>
            </w:r>
          </w:p>
        </w:tc>
        <w:tc>
          <w:tcPr/>
          <w:p>
            <w:pPr>
              <w:pStyle w:val="Compact"/>
              <w:jc w:val="left"/>
            </w:pPr>
            <w:r>
              <w:t xml:space="preserve">area as a sum of the areas</w:t>
            </w:r>
            <w:r>
              <w:br/>
            </w:r>
            <w:r>
              <w:t xml:space="preserve">of the smaller rectangles</w:t>
            </w:r>
          </w:p>
        </w:tc>
      </w:tr>
      <w:tr>
        <w:tc>
          <w:tcPr/>
          <w:p>
            <w:pPr>
              <w:jc w:val="left"/>
            </w:pPr>
            <w:r>
              <w:t xml:space="preserve">A</w:t>
            </w:r>
          </w:p>
        </w:tc>
        <w:tc>
          <w:tcPr/>
          <w:p>
            <w:pPr>
              <w:pStyle w:val="Compact"/>
            </w:pPr>
          </w:p>
        </w:tc>
        <w:tc>
          <w:tcPr/>
          <w:p>
            <w:pPr>
              <w:pStyle w:val="Compact"/>
            </w:pPr>
          </w:p>
        </w:tc>
        <w:tc>
          <w:tcPr/>
          <w:p>
            <w:pPr>
              <w:pStyle w:val="Compact"/>
            </w:pPr>
          </w:p>
        </w:tc>
        <w:tc>
          <w:tcPr/>
          <w:p>
            <w:pPr>
              <w:pStyle w:val="Compact"/>
            </w:pPr>
          </w:p>
        </w:tc>
      </w:tr>
      <w:tr>
        <w:tc>
          <w:tcPr/>
          <w:p>
            <w:pPr>
              <w:jc w:val="left"/>
            </w:pPr>
            <w:r>
              <w:t xml:space="preserve">B</w:t>
            </w:r>
          </w:p>
        </w:tc>
        <w:tc>
          <w:tcPr/>
          <w:p>
            <w:pPr>
              <w:pStyle w:val="Compact"/>
            </w:pPr>
          </w:p>
        </w:tc>
        <w:tc>
          <w:tcPr/>
          <w:p>
            <w:pPr>
              <w:pStyle w:val="Compact"/>
            </w:pPr>
          </w:p>
        </w:tc>
        <w:tc>
          <w:tcPr/>
          <w:p>
            <w:pPr>
              <w:pStyle w:val="Compact"/>
            </w:pPr>
          </w:p>
        </w:tc>
        <w:tc>
          <w:tcPr/>
          <w:p>
            <w:pPr>
              <w:pStyle w:val="Compact"/>
            </w:pPr>
          </w:p>
        </w:tc>
      </w:tr>
      <w:tr>
        <w:tc>
          <w:tcPr/>
          <w:p>
            <w:pPr>
              <w:jc w:val="left"/>
            </w:pPr>
            <w:r>
              <w:t xml:space="preserve">C</w:t>
            </w:r>
          </w:p>
        </w:tc>
        <w:tc>
          <w:tcPr/>
          <w:p>
            <w:pPr>
              <w:pStyle w:val="Compact"/>
            </w:pPr>
          </w:p>
        </w:tc>
        <w:tc>
          <w:tcPr/>
          <w:p>
            <w:pPr>
              <w:pStyle w:val="Compact"/>
            </w:pPr>
          </w:p>
        </w:tc>
        <w:tc>
          <w:tcPr/>
          <w:p>
            <w:pPr>
              <w:pStyle w:val="Compact"/>
            </w:pPr>
          </w:p>
        </w:tc>
        <w:tc>
          <w:tcPr/>
          <w:p>
            <w:pPr>
              <w:pStyle w:val="Compact"/>
            </w:pPr>
          </w:p>
        </w:tc>
      </w:tr>
      <w:tr>
        <w:tc>
          <w:tcPr/>
          <w:p>
            <w:pPr>
              <w:jc w:val="left"/>
            </w:pPr>
            <w:r>
              <w:t xml:space="preserve">D</w:t>
            </w:r>
          </w:p>
        </w:tc>
        <w:tc>
          <w:tcPr/>
          <w:p>
            <w:pPr>
              <w:pStyle w:val="Compact"/>
            </w:pPr>
          </w:p>
        </w:tc>
        <w:tc>
          <w:tcPr/>
          <w:p>
            <w:pPr>
              <w:pStyle w:val="Compact"/>
            </w:pPr>
          </w:p>
        </w:tc>
        <w:tc>
          <w:tcPr/>
          <w:p>
            <w:pPr>
              <w:pStyle w:val="Compact"/>
            </w:pPr>
          </w:p>
        </w:tc>
        <w:tc>
          <w:tcPr/>
          <w:p>
            <w:pPr>
              <w:pStyle w:val="Compact"/>
            </w:pPr>
          </w:p>
        </w:tc>
      </w:tr>
      <w:tr>
        <w:tc>
          <w:tcPr/>
          <w:p>
            <w:pPr>
              <w:jc w:val="left"/>
            </w:pPr>
            <w:r>
              <w:t xml:space="preserve">E</w:t>
            </w:r>
          </w:p>
        </w:tc>
        <w:tc>
          <w:tcPr/>
          <w:p>
            <w:pPr>
              <w:pStyle w:val="Compact"/>
            </w:pPr>
          </w:p>
        </w:tc>
        <w:tc>
          <w:tcPr/>
          <w:p>
            <w:pPr>
              <w:pStyle w:val="Compact"/>
            </w:pPr>
          </w:p>
        </w:tc>
        <w:tc>
          <w:tcPr/>
          <w:p>
            <w:pPr>
              <w:pStyle w:val="Compact"/>
            </w:pPr>
          </w:p>
        </w:tc>
        <w:tc>
          <w:tcPr/>
          <w:p>
            <w:pPr>
              <w:pStyle w:val="Compact"/>
            </w:pPr>
          </w:p>
        </w:tc>
      </w:tr>
      <w:tr>
        <w:tc>
          <w:tcPr/>
          <w:p>
            <w:pPr>
              <w:jc w:val="left"/>
            </w:pPr>
            <w:r>
              <w:t xml:space="preserve">F</w:t>
            </w: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bookmarkStart w:id="35" w:name="are-you-ready-for-more"/>
    <w:p>
      <w:pPr>
        <w:pStyle w:val="Heading4"/>
      </w:pPr>
      <w:r>
        <w:t xml:space="preserve">Are you ready for more?</w:t>
      </w:r>
    </w:p>
    <w:p>
      <w:pPr>
        <w:pStyle w:val="FirstParagraph"/>
      </w:pPr>
      <w:r>
        <w:t xml:space="preserve">Here is an area diagram of a rectangle.</w:t>
      </w:r>
    </w:p>
    <w:p>
      <w:pPr>
        <w:pStyle w:val="BodyText"/>
      </w:pPr>
      <w:r>
        <w:drawing>
          <wp:inline>
            <wp:extent cx="2975622" cy="697268"/>
            <wp:effectExtent b="0" l="0" r="0" t="0"/>
            <wp:docPr descr="Area diagram of a rectangle partition into 4 smaller rectangle." title="" id="33" name="Picture"/>
            <a:graphic>
              <a:graphicData uri="http://schemas.openxmlformats.org/drawingml/2006/picture">
                <pic:pic>
                  <pic:nvPicPr>
                    <pic:cNvPr descr="/app/tmp/embedder-1671075715.1012638.png" id="34" name="Picture"/>
                    <pic:cNvPicPr>
                      <a:picLocks noChangeArrowheads="1" noChangeAspect="1"/>
                    </pic:cNvPicPr>
                  </pic:nvPicPr>
                  <pic:blipFill>
                    <a:blip r:embed="rId32"/>
                    <a:stretch>
                      <a:fillRect/>
                    </a:stretch>
                  </pic:blipFill>
                  <pic:spPr bwMode="auto">
                    <a:xfrm>
                      <a:off x="0" y="0"/>
                      <a:ext cx="2975622" cy="697268"/>
                    </a:xfrm>
                    <a:prstGeom prst="rect">
                      <a:avLst/>
                    </a:prstGeom>
                    <a:noFill/>
                    <a:ln w="9525">
                      <a:noFill/>
                      <a:headEnd/>
                      <a:tailEnd/>
                    </a:ln>
                  </pic:spPr>
                </pic:pic>
              </a:graphicData>
            </a:graphic>
          </wp:inline>
        </w:drawing>
      </w:r>
    </w:p>
    <w:p>
      <w:pPr>
        <w:numPr>
          <w:ilvl w:val="0"/>
          <w:numId w:val="1003"/>
        </w:numPr>
        <w:pStyle w:val="Compact"/>
      </w:pPr>
      <w:r>
        <w:t xml:space="preserve">Find the lengths</w:t>
      </w:r>
      <w:r>
        <w:t xml:space="preserve"> </w:t>
      </w:r>
      <m:oMath>
        <m:r>
          <m:t>w</m:t>
        </m:r>
      </m:oMath>
      <w:r>
        <w:t xml:space="preserve">,</w:t>
      </w:r>
      <w:r>
        <w:t xml:space="preserve"> </w:t>
      </w:r>
      <m:oMath>
        <m:r>
          <m:t>x</m:t>
        </m:r>
      </m:oMath>
      <w:r>
        <w:t xml:space="preserve">,</w:t>
      </w:r>
      <w:r>
        <w:t xml:space="preserve"> </w:t>
      </w:r>
      <m:oMath>
        <m:r>
          <m:t>y</m:t>
        </m:r>
      </m:oMath>
      <w:r>
        <w:t xml:space="preserve">, and</w:t>
      </w:r>
      <w:r>
        <w:t xml:space="preserve"> </w:t>
      </w:r>
      <m:oMath>
        <m:r>
          <m:t>z</m:t>
        </m:r>
      </m:oMath>
      <w:r>
        <w:t xml:space="preserve">, and the area</w:t>
      </w:r>
      <w:r>
        <w:t xml:space="preserve"> </w:t>
      </w:r>
      <m:oMath>
        <m:r>
          <m:t>A</m:t>
        </m:r>
      </m:oMath>
      <w:r>
        <w:t xml:space="preserve">. All values are whole numbers.</w:t>
      </w:r>
    </w:p>
    <w:p>
      <w:pPr>
        <w:numPr>
          <w:ilvl w:val="0"/>
          <w:numId w:val="1003"/>
        </w:numPr>
        <w:pStyle w:val="Compact"/>
      </w:pPr>
      <w:r>
        <w:t xml:space="preserve">Can you find another set of lengths that will work? How many possibilities are there?</w:t>
      </w:r>
    </w:p>
    <w:bookmarkEnd w:id="35"/>
    <w:bookmarkEnd w:id="36"/>
    <w:bookmarkStart w:id="43" w:name="lesson-10-summary"/>
    <w:p>
      <w:pPr>
        <w:pStyle w:val="Heading3"/>
      </w:pPr>
      <w:r>
        <w:t xml:space="preserve">Lesson 10 Summary</w:t>
      </w:r>
    </w:p>
    <w:p>
      <w:pPr>
        <w:pStyle w:val="FirstParagraph"/>
      </w:pPr>
      <w:r>
        <w:t xml:space="preserve">Here is a rectangle composed of two smaller rectangles A and B.</w:t>
      </w:r>
    </w:p>
    <w:p>
      <w:pPr>
        <w:pStyle w:val="BodyText"/>
      </w:pPr>
      <w:r>
        <w:drawing>
          <wp:inline>
            <wp:extent cx="5943600" cy="4125377"/>
            <wp:effectExtent b="0" l="0" r="0" t="0"/>
            <wp:docPr descr="A partitioned rectangle." title="" id="38" name="Picture"/>
            <a:graphic>
              <a:graphicData uri="http://schemas.openxmlformats.org/drawingml/2006/picture">
                <pic:pic>
                  <pic:nvPicPr>
                    <pic:cNvPr descr="/app/tmp/embedder-1671075715.1394491.png" id="39" name="Picture"/>
                    <pic:cNvPicPr>
                      <a:picLocks noChangeArrowheads="1" noChangeAspect="1"/>
                    </pic:cNvPicPr>
                  </pic:nvPicPr>
                  <pic:blipFill>
                    <a:blip r:embed="rId37"/>
                    <a:stretch>
                      <a:fillRect/>
                    </a:stretch>
                  </pic:blipFill>
                  <pic:spPr bwMode="auto">
                    <a:xfrm>
                      <a:off x="0" y="0"/>
                      <a:ext cx="5943600" cy="4125377"/>
                    </a:xfrm>
                    <a:prstGeom prst="rect">
                      <a:avLst/>
                    </a:prstGeom>
                    <a:noFill/>
                    <a:ln w="9525">
                      <a:noFill/>
                      <a:headEnd/>
                      <a:tailEnd/>
                    </a:ln>
                  </pic:spPr>
                </pic:pic>
              </a:graphicData>
            </a:graphic>
          </wp:inline>
        </w:drawing>
      </w:r>
    </w:p>
    <w:p>
      <w:pPr>
        <w:pStyle w:val="BodyText"/>
      </w:pPr>
      <w:r>
        <w:t xml:space="preserve">Based on the drawing, we can make several observations about the area of the rectangle:</w:t>
      </w:r>
    </w:p>
    <w:p>
      <w:pPr>
        <w:numPr>
          <w:ilvl w:val="0"/>
          <w:numId w:val="1004"/>
        </w:numPr>
        <w:pStyle w:val="Compact"/>
      </w:pPr>
      <w:r>
        <w:t xml:space="preserve">One side length of the large rectangle is 3 and the other is</w:t>
      </w:r>
      <w:r>
        <w:t xml:space="preserve"> </w:t>
      </w:r>
      <m:oMath>
        <m:r>
          <m:t>2</m:t>
        </m:r>
        <m:r>
          <m:rPr>
            <m:sty m:val="p"/>
          </m:rPr>
          <m:t>+</m:t>
        </m:r>
        <m:r>
          <m:t>x</m:t>
        </m:r>
      </m:oMath>
      <w:r>
        <w:t xml:space="preserve">, so its area is</w:t>
      </w:r>
      <w:r>
        <w:t xml:space="preserve"> </w:t>
      </w:r>
      <m:oMath>
        <m:r>
          <m:t>3</m:t>
        </m:r>
        <m:d>
          <m:dPr>
            <m:begChr m:val="("/>
            <m:endChr m:val=")"/>
            <m:sepChr m:val=""/>
            <m:grow/>
          </m:dPr>
          <m:e>
            <m:r>
              <m:t>2</m:t>
            </m:r>
            <m:r>
              <m:rPr>
                <m:sty m:val="p"/>
              </m:rPr>
              <m:t>+</m:t>
            </m:r>
            <m:r>
              <m:t>x</m:t>
            </m:r>
          </m:e>
        </m:d>
      </m:oMath>
      <w:r>
        <w:t xml:space="preserve">.</w:t>
      </w:r>
    </w:p>
    <w:p>
      <w:pPr>
        <w:numPr>
          <w:ilvl w:val="0"/>
          <w:numId w:val="1004"/>
        </w:numPr>
        <w:pStyle w:val="Compact"/>
      </w:pPr>
      <w:r>
        <w:t xml:space="preserve">Since the large rectangle can be decomposed into two smaller rectangles, A and B, with no overlap, the area of the large rectangle is also the sum of the areas of rectangles A and B:</w:t>
      </w:r>
      <w:r>
        <w:t xml:space="preserve"> </w:t>
      </w:r>
      <m:oMath>
        <m:r>
          <m:t>3</m:t>
        </m:r>
        <m:d>
          <m:dPr>
            <m:begChr m:val="("/>
            <m:endChr m:val=")"/>
            <m:sepChr m:val=""/>
            <m:grow/>
          </m:dPr>
          <m:e>
            <m:r>
              <m:t>2</m:t>
            </m:r>
          </m:e>
        </m:d>
        <m:r>
          <m:rPr>
            <m:sty m:val="p"/>
          </m:rPr>
          <m:t>+</m:t>
        </m:r>
        <m:r>
          <m:t>3</m:t>
        </m:r>
        <m:d>
          <m:dPr>
            <m:begChr m:val="("/>
            <m:endChr m:val=")"/>
            <m:sepChr m:val=""/>
            <m:grow/>
          </m:dPr>
          <m:e>
            <m:r>
              <m:t>x</m:t>
            </m:r>
          </m:e>
        </m:d>
      </m:oMath>
      <w:r>
        <w:t xml:space="preserve"> </w:t>
      </w:r>
      <w:r>
        <w:t xml:space="preserve">or</w:t>
      </w:r>
      <w:r>
        <w:t xml:space="preserve"> </w:t>
      </w:r>
      <m:oMath>
        <m:r>
          <m:t>6</m:t>
        </m:r>
        <m:r>
          <m:rPr>
            <m:sty m:val="p"/>
          </m:rPr>
          <m:t>+</m:t>
        </m:r>
        <m:r>
          <m:t>3</m:t>
        </m:r>
        <m:r>
          <m:t>x</m:t>
        </m:r>
      </m:oMath>
      <w:r>
        <w:t xml:space="preserve">.</w:t>
      </w:r>
    </w:p>
    <w:p>
      <w:pPr>
        <w:numPr>
          <w:ilvl w:val="0"/>
          <w:numId w:val="1004"/>
        </w:numPr>
        <w:pStyle w:val="Compact"/>
      </w:pPr>
      <w:r>
        <w:t xml:space="preserve">Since both expressions represent the area of the large rectangle, they are equivalent to each other.</w:t>
      </w:r>
      <w:r>
        <w:t xml:space="preserve"> </w:t>
      </w:r>
      <m:oMath>
        <m:r>
          <m:t>3</m:t>
        </m:r>
        <m:d>
          <m:dPr>
            <m:begChr m:val="("/>
            <m:endChr m:val=")"/>
            <m:sepChr m:val=""/>
            <m:grow/>
          </m:dPr>
          <m:e>
            <m:r>
              <m:t>2</m:t>
            </m:r>
            <m:r>
              <m:rPr>
                <m:sty m:val="p"/>
              </m:rPr>
              <m:t>+</m:t>
            </m:r>
            <m:r>
              <m:t>x</m:t>
            </m:r>
          </m:e>
        </m:d>
      </m:oMath>
      <w:r>
        <w:t xml:space="preserve"> </w:t>
      </w:r>
      <w:r>
        <w:t xml:space="preserve">is equivalent to</w:t>
      </w:r>
      <w:r>
        <w:t xml:space="preserve"> </w:t>
      </w:r>
      <m:oMath>
        <m:r>
          <m:t>6</m:t>
        </m:r>
        <m:r>
          <m:rPr>
            <m:sty m:val="p"/>
          </m:rPr>
          <m:t>+</m:t>
        </m:r>
        <m:r>
          <m:t>3</m:t>
        </m:r>
        <m:r>
          <m:t>x</m:t>
        </m:r>
      </m:oMath>
      <w:r>
        <w:t xml:space="preserve">.</w:t>
      </w:r>
    </w:p>
    <w:p>
      <w:pPr>
        <w:pStyle w:val="FirstParagraph"/>
      </w:pPr>
      <w:r>
        <w:t xml:space="preserve">We can see that multiplying 3 by the sum</w:t>
      </w:r>
      <w:r>
        <w:t xml:space="preserve"> </w:t>
      </w:r>
      <m:oMath>
        <m:r>
          <m:t>2</m:t>
        </m:r>
        <m:r>
          <m:rPr>
            <m:sty m:val="p"/>
          </m:rPr>
          <m:t>+</m:t>
        </m:r>
        <m:r>
          <m:t>x</m:t>
        </m:r>
      </m:oMath>
      <w:r>
        <w:t xml:space="preserve"> </w:t>
      </w:r>
      <w:r>
        <w:t xml:space="preserve">is equivalent to multiplying 3 by 2 and then 3 by</w:t>
      </w:r>
      <w:r>
        <w:t xml:space="preserve"> </w:t>
      </w:r>
      <m:oMath>
        <m:r>
          <m:t>x</m:t>
        </m:r>
      </m:oMath>
      <w:r>
        <w:t xml:space="preserve"> </w:t>
      </w:r>
      <w:r>
        <w:t xml:space="preserve">and adding the two products. This relationship is an example of the</w:t>
      </w:r>
      <w:r>
        <w:t xml:space="preserve"> </w:t>
      </w:r>
      <w:r>
        <w:rPr>
          <w:iCs/>
          <w:i/>
        </w:rPr>
        <w:t xml:space="preserve">distributive property</w:t>
      </w:r>
      <w:r>
        <w:t xml:space="preserve">.</w:t>
      </w:r>
    </w:p>
    <w:p>
      <w:pPr>
        <w:pStyle w:val="BodyText"/>
      </w:pPr>
      <m:oMath>
        <m:r>
          <m:t>3</m:t>
        </m:r>
        <m:d>
          <m:dPr>
            <m:begChr m:val="("/>
            <m:endChr m:val=")"/>
            <m:sepChr m:val=""/>
            <m:grow/>
          </m:dPr>
          <m:e>
            <m:r>
              <m:t>2</m:t>
            </m:r>
            <m:r>
              <m:rPr>
                <m:sty m:val="p"/>
              </m:rPr>
              <m:t>+</m:t>
            </m:r>
            <m:r>
              <m:t>x</m:t>
            </m:r>
          </m:e>
        </m:d>
        <m:r>
          <m:rPr>
            <m:sty m:val="p"/>
          </m:rPr>
          <m:t>=</m:t>
        </m:r>
        <m:r>
          <m:t>3</m:t>
        </m:r>
        <m:r>
          <m:rPr>
            <m:sty m:val="p"/>
          </m:rPr>
          <m:t>⋅</m:t>
        </m:r>
        <m:r>
          <m:t>2</m:t>
        </m:r>
        <m:r>
          <m:rPr>
            <m:sty m:val="p"/>
          </m:rPr>
          <m:t>+</m:t>
        </m:r>
        <m:r>
          <m:t>3</m:t>
        </m:r>
        <m:r>
          <m:rPr>
            <m:sty m:val="p"/>
          </m:rPr>
          <m:t>⋅</m:t>
        </m:r>
        <m:r>
          <m:t>x</m:t>
        </m:r>
      </m:oMath>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2022-12-15T03:41:55Z</dcterms:created>
  <dcterms:modified xsi:type="dcterms:W3CDTF">2022-12-15T03:41:55Z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J5e2s6IptV8DHR7CskdQIa4cntN8BQnECMKRnJBLw2fE2Uz0zgo6iwuOtE9jQdHkkizWfyGccRMd3ld7ByaVzw==</vt:lpwstr>
  </property>
</Properties>
</file>