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emparejemos-figuras"/>
    <w:p>
      <w:pPr>
        <w:pStyle w:val="Heading1"/>
      </w:pPr>
      <w:r>
        <w:t xml:space="preserve">Lesson 2: Emparejemos figuras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K.MD.B.3</w:t>
            </w:r>
          </w:p>
        </w:tc>
      </w:tr>
      <w:tr>
        <w:tc>
          <w:tcPr/>
          <w:p>
            <w:pPr>
              <w:pStyle w:val="Compact"/>
              <w:jc w:val="left"/>
            </w:pPr>
            <w:r>
              <w:t xml:space="preserve">Addressing</w:t>
            </w:r>
          </w:p>
        </w:tc>
        <w:tc>
          <w:tcPr/>
          <w:p>
            <w:pPr>
              <w:pStyle w:val="Compact"/>
              <w:jc w:val="left"/>
            </w:pPr>
            <w:r>
              <w:t xml:space="preserve">K.G, K.G.A.1, K.G.A.2</w:t>
            </w:r>
          </w:p>
        </w:tc>
      </w:tr>
      <w:tr>
        <w:tc>
          <w:tcPr/>
          <w:p>
            <w:pPr>
              <w:pStyle w:val="Compact"/>
              <w:jc w:val="left"/>
            </w:pPr>
            <w:r>
              <w:t xml:space="preserve">Building Towards</w:t>
            </w:r>
          </w:p>
        </w:tc>
        <w:tc>
          <w:tcPr/>
          <w:p>
            <w:pPr>
              <w:pStyle w:val="Compact"/>
              <w:jc w:val="left"/>
            </w:pPr>
            <w:r>
              <w:t xml:space="preserve">K.G.A.1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shapes that are the same.</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figuras que sean la misma.</w:t>
      </w:r>
    </w:p>
    <w:bookmarkEnd w:id="25"/>
    <w:bookmarkStart w:id="26" w:name="lesson-purpose"/>
    <w:p>
      <w:pPr>
        <w:pStyle w:val="Heading3"/>
      </w:pPr>
      <w:r>
        <w:t xml:space="preserve">Lesson Purpose</w:t>
      </w:r>
    </w:p>
    <w:p>
      <w:pPr>
        <w:pStyle w:val="FirstParagraph"/>
      </w:pPr>
      <w:r>
        <w:t xml:space="preserve">The purpose of this lesson is for students to identify shapes that are the same.</w:t>
      </w:r>
    </w:p>
    <w:p>
      <w:pPr>
        <w:pStyle w:val="BodyText"/>
      </w:pPr>
      <w:r>
        <w:t xml:space="preserve">Students make connections between real world objects and flat shapes. For example, students match a plate with a circle. Students also identify shapes that are the same regardless of their size or orientation. Students may identify solid shapes as flat shapes, which is fine for this point in the year. The difference between flat and solid shapes will be investigated in a later unit.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opportunities outside of math class do you have for encouraging students to see and describe the different shapes that make up objects in the environment?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informal language to describe shapes.</w:t>
      </w:r>
    </w:p>
    <w:p>
      <w:pPr>
        <w:numPr>
          <w:ilvl w:val="0"/>
          <w:numId w:val="1006"/>
        </w:numPr>
        <w:pStyle w:val="Compact"/>
      </w:pPr>
      <w:r>
        <w:t xml:space="preserve">Tell what is the same or different about two or more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2022-12-14T22:34:20Z</dcterms:created>
  <dcterms:modified xsi:type="dcterms:W3CDTF">2022-12-14T22:34:20Z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BsK0ALCIh+f9wlyJWh5YRfn3TNxUzo2OOajI6g261HUixvFZ3AB/ujgm/5cLenQtwB81WkBE0JW8Ii2aebXXKA==</vt:lpwstr>
  </property>
</Properties>
</file>