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78ea88858ea047f0a790e29816acc19aae615d3"/>
    <w:p>
      <w:pPr>
        <w:pStyle w:val="Heading1"/>
      </w:pPr>
      <w:r>
        <w:t xml:space="preserve">Lesson 10: Una de las partes, todas las partes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whole as two of the halves or four of the fourths.</w:t>
      </w:r>
    </w:p>
    <w:p>
      <w:pPr>
        <w:numPr>
          <w:ilvl w:val="0"/>
          <w:numId w:val="1001"/>
        </w:numPr>
        <w:pStyle w:val="Compact"/>
      </w:pPr>
      <w:r>
        <w:t xml:space="preserve">Partition circles and rectangles into halves and fourths and describe one piece as “a half of”, “a fourth of” or “a quarter of” the whole shape.</w:t>
      </w:r>
    </w:p>
    <w:bookmarkEnd w:id="24"/>
    <w:bookmarkStart w:id="25" w:name="student-facing-learning-goals"/>
    <w:p>
      <w:pPr>
        <w:pStyle w:val="Heading3"/>
      </w:pPr>
      <w:r>
        <w:t xml:space="preserve">Student-facing Learning Goals</w:t>
      </w:r>
    </w:p>
    <w:p>
      <w:pPr>
        <w:numPr>
          <w:ilvl w:val="0"/>
          <w:numId w:val="1002"/>
        </w:numPr>
        <w:pStyle w:val="Compact"/>
      </w:pPr>
      <w:r>
        <w:t xml:space="preserve">Describamos partes iguales de figuras.</w:t>
      </w:r>
    </w:p>
    <w:bookmarkEnd w:id="25"/>
    <w:bookmarkStart w:id="26" w:name="lesson-purpose"/>
    <w:p>
      <w:pPr>
        <w:pStyle w:val="Heading3"/>
      </w:pPr>
      <w:r>
        <w:t xml:space="preserve">Lesson Purpose</w:t>
      </w:r>
    </w:p>
    <w:p>
      <w:pPr>
        <w:pStyle w:val="FirstParagraph"/>
      </w:pPr>
      <w:r>
        <w:t xml:space="preserve">The purpose of this lesson is for students to partition circles and rectangles into halves and fourths, and use precise language to describe the pieces as a half of or a fourth of the whole shape.</w:t>
      </w:r>
    </w:p>
    <w:p>
      <w:pPr>
        <w:pStyle w:val="BodyText"/>
      </w:pPr>
      <w:r>
        <w:t xml:space="preserve">In previous lessons, students partitioned circles and rectangles into two and four equal pieces. They learned the terms halves and fourths to describe how the shapes were partitioned. In this lesson, students describe one piece as a half of, a fourth of, or a quarter of a whole shape. Students also learn that they can describe the whole shape as "two of the halves” or "four of the fourths.”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Colored pencils or crayons: Activity 1</w:t>
      </w:r>
    </w:p>
    <w:bookmarkEnd w:id="37"/>
    <w:bookmarkStart w:id="38" w:name="materials-to-copy"/>
    <w:p>
      <w:pPr>
        <w:pStyle w:val="Heading3"/>
      </w:pPr>
      <w:r>
        <w:t xml:space="preserve">Materials to Copy</w:t>
      </w:r>
    </w:p>
    <w:p>
      <w:pPr>
        <w:numPr>
          <w:ilvl w:val="0"/>
          <w:numId w:val="1006"/>
        </w:numPr>
        <w:pStyle w:val="Compact"/>
      </w:pPr>
      <w:r>
        <w:t xml:space="preserve">Shaded Parts Cards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Parte el rectángulo</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1.G.A.3</w:t>
            </w:r>
          </w:p>
        </w:tc>
      </w:tr>
    </w:tbl>
    <w:bookmarkEnd w:id="45"/>
    <w:bookmarkStart w:id="49" w:name="student-facing-task-statement"/>
    <w:p>
      <w:pPr>
        <w:pStyle w:val="Heading3"/>
      </w:pPr>
      <w:r>
        <w:t xml:space="preserve">Student-facing Task Statement</w:t>
      </w:r>
    </w:p>
    <w:p>
      <w:pPr>
        <w:numPr>
          <w:ilvl w:val="0"/>
          <w:numId w:val="1007"/>
        </w:numPr>
      </w:pPr>
      <w:r>
        <w:t xml:space="preserve">Parte el rectángulo en cuartos.</w:t>
      </w:r>
    </w:p>
    <w:p>
      <w:pPr>
        <w:numPr>
          <w:ilvl w:val="0"/>
          <w:numId w:val="1000"/>
        </w:numPr>
        <w:pStyle w:val="Compact"/>
      </w:pPr>
      <w:r>
        <w:drawing>
          <wp:inline>
            <wp:extent cx="4457700" cy="1920239"/>
            <wp:effectExtent b="0" l="0" r="0" t="0"/>
            <wp:docPr descr="" title="" id="47" name="Picture"/>
            <a:graphic>
              <a:graphicData uri="http://schemas.openxmlformats.org/drawingml/2006/picture">
                <pic:pic>
                  <pic:nvPicPr>
                    <pic:cNvPr descr="/app/tmp/embedder-1671059757.9483166.png" id="48" name="Picture"/>
                    <pic:cNvPicPr>
                      <a:picLocks noChangeArrowheads="1" noChangeAspect="1"/>
                    </pic:cNvPicPr>
                  </pic:nvPicPr>
                  <pic:blipFill>
                    <a:blip r:embed="rId46"/>
                    <a:stretch>
                      <a:fillRect/>
                    </a:stretch>
                  </pic:blipFill>
                  <pic:spPr bwMode="auto">
                    <a:xfrm>
                      <a:off x="0" y="0"/>
                      <a:ext cx="4457700" cy="1920239"/>
                    </a:xfrm>
                    <a:prstGeom prst="rect">
                      <a:avLst/>
                    </a:prstGeom>
                    <a:noFill/>
                    <a:ln w="9525">
                      <a:noFill/>
                      <a:headEnd/>
                      <a:tailEnd/>
                    </a:ln>
                  </pic:spPr>
                </pic:pic>
              </a:graphicData>
            </a:graphic>
          </wp:inline>
        </w:drawing>
      </w:r>
    </w:p>
    <w:p>
      <w:pPr>
        <w:numPr>
          <w:ilvl w:val="0"/>
          <w:numId w:val="1007"/>
        </w:numPr>
      </w:pPr>
      <w:r>
        <w:t xml:space="preserve">Colorea una parte.</w:t>
      </w:r>
    </w:p>
    <w:p>
      <w:pPr>
        <w:numPr>
          <w:ilvl w:val="0"/>
          <w:numId w:val="1007"/>
        </w:numPr>
      </w:pPr>
      <w:r>
        <w:t xml:space="preserve">Marca todas las maneras de describir la parte que coloreaste.</w:t>
      </w:r>
    </w:p>
    <w:p>
      <w:pPr>
        <w:numPr>
          <w:ilvl w:val="0"/>
          <w:numId w:val="1000"/>
        </w:numPr>
      </w:pPr>
      <w:r>
        <w:t xml:space="preserve">una cuarta parte del rectángulo</w:t>
      </w:r>
    </w:p>
    <w:p>
      <w:pPr>
        <w:numPr>
          <w:ilvl w:val="0"/>
          <w:numId w:val="1000"/>
        </w:numPr>
      </w:pPr>
      <w:r>
        <w:t xml:space="preserve">una mitad del rectángulo</w:t>
      </w:r>
    </w:p>
    <w:p>
      <w:pPr>
        <w:numPr>
          <w:ilvl w:val="0"/>
          <w:numId w:val="1000"/>
        </w:numPr>
      </w:pPr>
      <w:r>
        <w:t xml:space="preserve">un cuarto del </w:t>
      </w:r>
      <w:r>
        <w:br/>
      </w:r>
      <w:r>
        <w:t xml:space="preserve">rectángulo</w:t>
      </w:r>
    </w:p>
    <w:p>
      <w:pPr>
        <w:numPr>
          <w:ilvl w:val="0"/>
          <w:numId w:val="1000"/>
        </w:numPr>
      </w:pPr>
      <w:r>
        <w:t xml:space="preserve">todo el rectángulo</w:t>
      </w:r>
    </w:p>
    <w:bookmarkEnd w:id="49"/>
    <w:bookmarkStart w:id="50" w:name="student-responses"/>
    <w:p>
      <w:pPr>
        <w:pStyle w:val="Heading3"/>
      </w:pPr>
      <w:r>
        <w:t xml:space="preserve">Student Responses</w:t>
      </w:r>
    </w:p>
    <w:p>
      <w:pPr>
        <w:numPr>
          <w:ilvl w:val="0"/>
          <w:numId w:val="1008"/>
        </w:numPr>
        <w:pStyle w:val="Compact"/>
      </w:pPr>
      <w:r>
        <w:t xml:space="preserve">Answers vary.</w:t>
      </w:r>
    </w:p>
    <w:p>
      <w:pPr>
        <w:numPr>
          <w:ilvl w:val="0"/>
          <w:numId w:val="1008"/>
        </w:numPr>
        <w:pStyle w:val="Compact"/>
      </w:pPr>
      <w:r>
        <w:t xml:space="preserve">Answers vary.</w:t>
      </w:r>
    </w:p>
    <w:p>
      <w:pPr>
        <w:numPr>
          <w:ilvl w:val="0"/>
          <w:numId w:val="1008"/>
        </w:numPr>
        <w:pStyle w:val="Compact"/>
      </w:pPr>
      <w:r>
        <w:t xml:space="preserve">a fourth, a quarter</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2022-12-14T23:15:58Z</dcterms:created>
  <dcterms:modified xsi:type="dcterms:W3CDTF">2022-12-14T23:15:58Z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KI/CFb+4gKC3LZT0pACt5ewpC98Iu/IvYMS4Jof5hwgMi4dM0zB4/XLJN+r1ZIGN1cFyWRwxrzTlTl1W8/aEVQ==</vt:lpwstr>
  </property>
</Properties>
</file>