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rId28.png" ContentType="image/png"/>
  <Override PartName="/word/media/rId38.svg" ContentType="image/svg+xml;base64"/>
  <Override PartName="/word/media/rId34.svg" ContentType="image/svg+xml;base64"/>
  <Override PartName="/word/media/rId4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lesson-11-una-parte-más-grande"/>
    <w:p>
      <w:pPr>
        <w:pStyle w:val="Heading1"/>
      </w:pPr>
      <w:r>
        <w:t xml:space="preserve">Lesson 11: Una parte más grande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 1.G.A.3, 1.NBT.C.5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the size of halves and fourths of the same shape.</w:t>
      </w:r>
    </w:p>
    <w:p>
      <w:pPr>
        <w:numPr>
          <w:ilvl w:val="0"/>
          <w:numId w:val="1001"/>
        </w:numPr>
        <w:pStyle w:val="Compact"/>
      </w:pPr>
      <w:r>
        <w:t xml:space="preserve">Understand that for halves and fourths, partitioning a shape into more equal pieces creates smaller pieces.</w:t>
      </w:r>
    </w:p>
    <w:bookmarkEnd w:id="24"/>
    <w:bookmarkStart w:id="31" w:name="student-facing-learning-goals"/>
    <w:p>
      <w:pPr>
        <w:pStyle w:val="Heading3"/>
      </w:pPr>
      <w:r>
        <w:t xml:space="preserve">Student-facing Learning Goals</w:t>
      </w:r>
    </w:p>
    <w:p>
      <w:pPr>
        <w:numPr>
          <w:ilvl w:val="0"/>
          <w:numId w:val="1002"/>
        </w:numPr>
        <w:pStyle w:val="Compact"/>
      </w:pPr>
      <w:r>
        <w:t xml:space="preserve">Comparemos el tamaño de mitades y de cuartos.</w:t>
      </w:r>
    </w:p>
    <w:p>
      <w:pPr>
        <w:pStyle w:val="FirstParagraph"/>
      </w:pPr>
      <w:r>
        <w:drawing>
          <wp:inline>
            <wp:extent cx="1920239" cy="1005845"/>
            <wp:effectExtent b="0" l="0" r="0" t="0"/>
            <wp:docPr descr="" title="" id="26" name="Picture"/>
            <a:graphic>
              <a:graphicData uri="http://schemas.openxmlformats.org/drawingml/2006/picture">
                <pic:pic>
                  <pic:nvPicPr>
                    <pic:cNvPr descr="/app/tmp/embedder-1671059759.2027647.png" id="27" name="Picture"/>
                    <pic:cNvPicPr>
                      <a:picLocks noChangeArrowheads="1" noChangeAspect="1"/>
                    </pic:cNvPicPr>
                  </pic:nvPicPr>
                  <pic:blipFill>
                    <a:blip r:embed="rId25"/>
                    <a:stretch>
                      <a:fillRect/>
                    </a:stretch>
                  </pic:blipFill>
                  <pic:spPr bwMode="auto">
                    <a:xfrm>
                      <a:off x="0" y="0"/>
                      <a:ext cx="1920239" cy="1005845"/>
                    </a:xfrm>
                    <a:prstGeom prst="rect">
                      <a:avLst/>
                    </a:prstGeom>
                    <a:noFill/>
                    <a:ln w="9525">
                      <a:noFill/>
                      <a:headEnd/>
                      <a:tailEnd/>
                    </a:ln>
                  </pic:spPr>
                </pic:pic>
              </a:graphicData>
            </a:graphic>
          </wp:inline>
        </w:drawing>
      </w:r>
    </w:p>
    <w:p>
      <w:pPr>
        <w:pStyle w:val="BodyText"/>
      </w:pPr>
      <w:r>
        <w:drawing>
          <wp:inline>
            <wp:extent cx="1920239" cy="1920239"/>
            <wp:effectExtent b="0" l="0" r="0" t="0"/>
            <wp:docPr descr="" title="" id="29" name="Picture"/>
            <a:graphic>
              <a:graphicData uri="http://schemas.openxmlformats.org/drawingml/2006/picture">
                <pic:pic>
                  <pic:nvPicPr>
                    <pic:cNvPr descr="/app/tmp/embedder-1671059759.296313.png" id="30" name="Picture"/>
                    <pic:cNvPicPr>
                      <a:picLocks noChangeArrowheads="1" noChangeAspect="1"/>
                    </pic:cNvPicPr>
                  </pic:nvPicPr>
                  <pic:blipFill>
                    <a:blip r:embed="rId28"/>
                    <a:stretch>
                      <a:fillRect/>
                    </a:stretch>
                  </pic:blipFill>
                  <pic:spPr bwMode="auto">
                    <a:xfrm>
                      <a:off x="0" y="0"/>
                      <a:ext cx="1920239" cy="1920239"/>
                    </a:xfrm>
                    <a:prstGeom prst="rect">
                      <a:avLst/>
                    </a:prstGeom>
                    <a:noFill/>
                    <a:ln w="9525">
                      <a:noFill/>
                      <a:headEnd/>
                      <a:tailEnd/>
                    </a:ln>
                  </pic:spPr>
                </pic:pic>
              </a:graphicData>
            </a:graphic>
          </wp:inline>
        </w:drawing>
      </w:r>
    </w:p>
    <w:bookmarkEnd w:id="31"/>
    <w:bookmarkStart w:id="32" w:name="lesson-purpose"/>
    <w:p>
      <w:pPr>
        <w:pStyle w:val="Heading3"/>
      </w:pPr>
      <w:r>
        <w:t xml:space="preserve">Lesson Purpose</w:t>
      </w:r>
    </w:p>
    <w:p>
      <w:pPr>
        <w:pStyle w:val="FirstParagraph"/>
      </w:pPr>
      <w:r>
        <w:t xml:space="preserve">The purpose of this lesson is for students to compare the size of halves and fourths of the same shape and understand that partitioning a shape into more equal pieces creates smaller pieces.</w:t>
      </w:r>
    </w:p>
    <w:p>
      <w:pPr>
        <w:pStyle w:val="BodyText"/>
      </w:pPr>
      <w:r>
        <w:t xml:space="preserve">In previous lessons, students partitioned shapes into halves and fourths and identified “a half,” “a fourth,” and “a quarter,” of a shape. In this lesson, students build on this work by comparing the size of halves and fourths of same-size shapes. Students explain that for the same shape, a fourth is smaller than a half. In later grades, students will generalize that for any whole, splitting it into more pieces creates smaller size pieces. At this point, they only need to understand the relative size of halves and fourths of the same shape.</w:t>
      </w:r>
    </w:p>
    <w:p>
      <w:pPr>
        <w:pStyle w:val="BodyText"/>
      </w:pPr>
      <w:r>
        <w:t xml:space="preserve">This lesson has a Student Section Summary.</w:t>
      </w:r>
    </w:p>
    <w:bookmarkEnd w:id="32"/>
    <w:bookmarkStart w:id="33" w:name="access-for"/>
    <w:p>
      <w:pPr>
        <w:pStyle w:val="Heading3"/>
      </w:pPr>
      <w:r>
        <w:t xml:space="preserve">Access for:</w:t>
      </w:r>
    </w:p>
    <w:bookmarkEnd w:id="33"/>
    <w:bookmarkStart w:id="37" w:name="students-with-disabilities"/>
    <w:p>
      <w:pPr>
        <w:pStyle w:val="Heading3"/>
      </w:pPr>
      <w:r>
        <w:drawing>
          <wp:inline>
            <wp:extent cx="3810000" cy="2540000"/>
            <wp:effectExtent b="0" l="0" r="0" t="0"/>
            <wp:docPr descr="" title="" id="35"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7"/>
    <w:bookmarkStart w:id="41" w:name="english-learners"/>
    <w:p>
      <w:pPr>
        <w:pStyle w:val="Heading3"/>
      </w:pP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41"/>
    <w:bookmarkStart w:id="42" w:name="instructional-routines"/>
    <w:p>
      <w:pPr>
        <w:pStyle w:val="Heading3"/>
      </w:pPr>
      <w:r>
        <w:t xml:space="preserve">Instructional Routines</w:t>
      </w:r>
    </w:p>
    <w:p>
      <w:pPr>
        <w:pStyle w:val="FirstParagraph"/>
      </w:pPr>
      <w:r>
        <w:t xml:space="preserve">Choral Count (Warm-up), MLR8 Discussion Supports (Activity 2)</w:t>
      </w:r>
    </w:p>
    <w:bookmarkEnd w:id="42"/>
    <w:bookmarkStart w:id="43" w:name="materials-to-gather"/>
    <w:p>
      <w:pPr>
        <w:pStyle w:val="Heading3"/>
      </w:pPr>
      <w:r>
        <w:t xml:space="preserve">Materials to Gather</w:t>
      </w:r>
    </w:p>
    <w:p>
      <w:pPr>
        <w:numPr>
          <w:ilvl w:val="0"/>
          <w:numId w:val="1005"/>
        </w:numPr>
        <w:pStyle w:val="Compact"/>
      </w:pPr>
      <w:r>
        <w:t xml:space="preserve">Bags: Activity 3</w:t>
      </w:r>
    </w:p>
    <w:p>
      <w:pPr>
        <w:numPr>
          <w:ilvl w:val="0"/>
          <w:numId w:val="1005"/>
        </w:numPr>
        <w:pStyle w:val="Compact"/>
      </w:pPr>
      <w:r>
        <w:t xml:space="preserve">Colored pencils or crayons: Activity 2</w:t>
      </w:r>
    </w:p>
    <w:p>
      <w:pPr>
        <w:numPr>
          <w:ilvl w:val="0"/>
          <w:numId w:val="1005"/>
        </w:numPr>
        <w:pStyle w:val="Compact"/>
      </w:pPr>
      <w:r>
        <w:t xml:space="preserve">Geoblocks: Activity 3</w:t>
      </w:r>
    </w:p>
    <w:p>
      <w:pPr>
        <w:numPr>
          <w:ilvl w:val="0"/>
          <w:numId w:val="1005"/>
        </w:numPr>
        <w:pStyle w:val="Compact"/>
      </w:pPr>
      <w:r>
        <w:t xml:space="preserve">Scissors: Activity 1</w:t>
      </w:r>
    </w:p>
    <w:bookmarkEnd w:id="43"/>
    <w:bookmarkStart w:id="44" w:name="required-preparation"/>
    <w:p>
      <w:pPr>
        <w:pStyle w:val="Heading3"/>
      </w:pPr>
      <w:r>
        <w:t xml:space="preserve">Required Preparation</w:t>
      </w:r>
    </w:p>
    <w:bookmarkEnd w:id="44"/>
    <w:bookmarkStart w:id="4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45"/>
    <w:bookmarkStart w:id="46" w:name="teacher-reflection-question"/>
    <w:p>
      <w:pPr>
        <w:pStyle w:val="Heading3"/>
      </w:pPr>
      <w:r>
        <w:t xml:space="preserve">Teacher Reflection Question</w:t>
      </w:r>
    </w:p>
    <w:p>
      <w:pPr>
        <w:pStyle w:val="FirstParagraph"/>
      </w:pPr>
      <w:r>
        <w:t xml:space="preserve">When do your students feel successful in math? How do you know?</w:t>
      </w:r>
    </w:p>
    <w:p>
      <w:r>
        <w:pict>
          <v:rect style="width:0;height:1.5pt" o:hralign="center" o:hrstd="t" o:hr="t"/>
        </w:pict>
      </w:r>
    </w:p>
    <w:bookmarkEnd w:id="46"/>
    <w:bookmarkStart w:id="5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7, punto de chequeo de la sección B</w:t>
      </w:r>
    </w:p>
    <w:bookmarkEnd w:id="50"/>
    <w:bookmarkStart w:id="5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1.G.A.3</w:t>
            </w:r>
          </w:p>
        </w:tc>
      </w:tr>
    </w:tbl>
    <w:bookmarkEnd w:id="51"/>
    <w:bookmarkStart w:id="52" w:name="student-facing-task-statement"/>
    <w:p>
      <w:pPr>
        <w:pStyle w:val="Heading3"/>
      </w:pPr>
      <w:r>
        <w:t xml:space="preserve">Student-facing Task Statement</w:t>
      </w:r>
    </w:p>
    <w:p>
      <w:pPr>
        <w:pStyle w:val="FirstParagraph"/>
      </w:pPr>
      <w:r>
        <w:t xml:space="preserve">Lesson observations</w:t>
      </w:r>
    </w:p>
    <w:bookmarkEnd w:id="52"/>
    <w:bookmarkStart w:id="53" w:name="student-responses"/>
    <w:p>
      <w:pPr>
        <w:pStyle w:val="Heading3"/>
      </w:pPr>
      <w:r>
        <w:t xml:space="preserve">Student Responses</w:t>
      </w:r>
    </w:p>
    <w:p>
      <w:pPr>
        <w:numPr>
          <w:ilvl w:val="0"/>
          <w:numId w:val="1007"/>
        </w:numPr>
        <w:pStyle w:val="Compact"/>
      </w:pPr>
      <w:r>
        <w:t xml:space="preserve">Partition a circle or rectangle into halves or fourths.</w:t>
      </w:r>
    </w:p>
    <w:p>
      <w:pPr>
        <w:numPr>
          <w:ilvl w:val="0"/>
          <w:numId w:val="1007"/>
        </w:numPr>
        <w:pStyle w:val="Compact"/>
      </w:pPr>
      <w:r>
        <w:t xml:space="preserve">Understand that for halves and fourths, partitioning a shape into more equal pieces creates smaller pieces.</w:t>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8" Target="media/rId38.svg" /><Relationship Type="http://schemas.openxmlformats.org/officeDocument/2006/relationships/image" Id="rId34" Target="media/rId34.svg" /><Relationship Type="http://schemas.openxmlformats.org/officeDocument/2006/relationships/image" Id="rId47" Target="media/rId4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2022-12-14T23:16:00Z</dcterms:created>
  <dcterms:modified xsi:type="dcterms:W3CDTF">2022-12-14T23:16:00Z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HUEbFPkWjR3BQGMOqxP4y1BXrbZybmj8n7GaxhUxMeM5RV5NlZ51QASkwBD6d9Sjab/UMGbkNecaO3+2YT4yvg==</vt:lpwstr>
  </property>
</Properties>
</file>