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9.png" ContentType="image/png"/>
  <Override PartName="/word/media/rId50.png" ContentType="image/png"/>
  <Override PartName="/word/media/rId38.svg" ContentType="image/svg+xml;base64"/>
  <Override PartName="/word/media/rId34.svg" ContentType="image/svg+xml;base64"/>
  <Override PartName="/word/media/rId4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5" w:name="Xdba224aaaafa3943a45689e9eaeda5d625fe764"/>
    <w:p>
      <w:pPr>
        <w:pStyle w:val="Heading1"/>
      </w:pPr>
      <w:r>
        <w:t xml:space="preserve">Lesson 11: Lados de longitudes fraccionarias y mayores que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 5.NF.B.4.b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area of a rectangle with one fractional side length greater than 1 in a way that makes sense to them.</w:t>
      </w:r>
    </w:p>
    <w:p>
      <w:pPr>
        <w:numPr>
          <w:ilvl w:val="0"/>
          <w:numId w:val="1001"/>
        </w:numPr>
        <w:pStyle w:val="Compact"/>
      </w:pPr>
      <w:r>
        <w:t xml:space="preserve">Represent the area of a rectangle with a multiplication expression.</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el área de más rectángulos.</w:t>
      </w:r>
    </w:p>
    <w:bookmarkEnd w:id="25"/>
    <w:bookmarkStart w:id="32" w:name="lesson-purpose"/>
    <w:p>
      <w:pPr>
        <w:pStyle w:val="Heading3"/>
      </w:pPr>
      <w:r>
        <w:t xml:space="preserve">Lesson Purpose</w:t>
      </w:r>
    </w:p>
    <w:p>
      <w:pPr>
        <w:pStyle w:val="FirstParagraph"/>
      </w:pPr>
      <w:r>
        <w:t xml:space="preserve">The purpose of this lesson is for students to find the area of a rectangle where one of the side lengths is a fraction greater than 1.</w:t>
      </w:r>
    </w:p>
    <w:p>
      <w:pPr>
        <w:pStyle w:val="BodyText"/>
      </w:pPr>
      <w:r>
        <w:t xml:space="preserve">In previous lessons, students multiplied fractions by whole numbers and found the area of rectangles with one fractional side length when the fraction was less than 1. They used visual representations to support their reasoning. For example, students use this picture to explain why</w:t>
      </w:r>
      <w:r>
        <w:t xml:space="preserve"> </w:t>
      </w:r>
      <m:oMath>
        <m:f>
          <m:fPr>
            <m:type m:val="bar"/>
          </m:fPr>
          <m:num>
            <m:r>
              <m:t>2</m:t>
            </m:r>
          </m:num>
          <m:den>
            <m:r>
              <m:t>3</m:t>
            </m:r>
          </m:den>
        </m:f>
        <m:r>
          <m:rPr>
            <m:sty m:val="p"/>
          </m:rPr>
          <m:t>×</m:t>
        </m:r>
        <m:r>
          <m:t>4</m:t>
        </m:r>
        <m:r>
          <m:rPr>
            <m:sty m:val="p"/>
          </m:rPr>
          <m:t>=</m:t>
        </m:r>
        <m:d>
          <m:dPr>
            <m:begChr m:val="("/>
            <m:endChr m:val=")"/>
            <m:sepChr m:val=""/>
            <m:grow/>
          </m:dPr>
          <m:e>
            <m:r>
              <m:t>2</m:t>
            </m:r>
            <m:r>
              <m:rPr>
                <m:sty m:val="p"/>
              </m:rPr>
              <m:t>×</m:t>
            </m:r>
            <m:r>
              <m:t>4</m:t>
            </m:r>
          </m:e>
        </m:d>
        <m:r>
          <m:rPr>
            <m:sty m:val="p"/>
          </m:rPr>
          <m:t>×</m:t>
        </m:r>
        <m:f>
          <m:fPr>
            <m:type m:val="bar"/>
          </m:fPr>
          <m:num>
            <m:r>
              <m:t>1</m:t>
            </m:r>
          </m:num>
          <m:den>
            <m:r>
              <m:t>3</m:t>
            </m:r>
          </m:den>
        </m:f>
      </m:oMath>
      <w:r>
        <w:t xml:space="preserve">.</w:t>
      </w:r>
    </w:p>
    <w:p>
      <w:pPr>
        <w:pStyle w:val="BodyText"/>
      </w:pPr>
      <w:r>
        <w:drawing>
          <wp:inline>
            <wp:extent cx="4114800" cy="1097277"/>
            <wp:effectExtent b="0" l="0" r="0" t="0"/>
            <wp:docPr descr="Area diagram. Length, 4. Width, 2 thirds." title="" id="27" name="Picture"/>
            <a:graphic>
              <a:graphicData uri="http://schemas.openxmlformats.org/drawingml/2006/picture">
                <pic:pic>
                  <pic:nvPicPr>
                    <pic:cNvPr descr="/app/tmp/embedder-1671065364.338151.png" id="28" name="Picture"/>
                    <pic:cNvPicPr>
                      <a:picLocks noChangeArrowheads="1" noChangeAspect="1"/>
                    </pic:cNvPicPr>
                  </pic:nvPicPr>
                  <pic:blipFill>
                    <a:blip r:embed="rId26"/>
                    <a:stretch>
                      <a:fillRect/>
                    </a:stretch>
                  </pic:blipFill>
                  <pic:spPr bwMode="auto">
                    <a:xfrm>
                      <a:off x="0" y="0"/>
                      <a:ext cx="4114800" cy="1097277"/>
                    </a:xfrm>
                    <a:prstGeom prst="rect">
                      <a:avLst/>
                    </a:prstGeom>
                    <a:noFill/>
                    <a:ln w="9525">
                      <a:noFill/>
                      <a:headEnd/>
                      <a:tailEnd/>
                    </a:ln>
                  </pic:spPr>
                </pic:pic>
              </a:graphicData>
            </a:graphic>
          </wp:inline>
        </w:drawing>
      </w:r>
    </w:p>
    <w:p>
      <w:pPr>
        <w:pStyle w:val="BodyText"/>
      </w:pPr>
      <w:r>
        <w:t xml:space="preserve">In this lesson, students apply these strategies to find the area of a rectangle with a fractional side length greater than 1.</w:t>
      </w:r>
    </w:p>
    <w:p>
      <w:pPr>
        <w:pStyle w:val="BodyText"/>
      </w:pPr>
      <w:r>
        <w:drawing>
          <wp:inline>
            <wp:extent cx="4114800" cy="1920239"/>
            <wp:effectExtent b="0" l="0" r="0" t="0"/>
            <wp:docPr descr="Area diagram." title="" id="30" name="Picture"/>
            <a:graphic>
              <a:graphicData uri="http://schemas.openxmlformats.org/drawingml/2006/picture">
                <pic:pic>
                  <pic:nvPicPr>
                    <pic:cNvPr descr="/app/tmp/embedder-1671065364.4104862.png" id="31" name="Picture"/>
                    <pic:cNvPicPr>
                      <a:picLocks noChangeArrowheads="1" noChangeAspect="1"/>
                    </pic:cNvPicPr>
                  </pic:nvPicPr>
                  <pic:blipFill>
                    <a:blip r:embed="rId29"/>
                    <a:stretch>
                      <a:fillRect/>
                    </a:stretch>
                  </pic:blipFill>
                  <pic:spPr bwMode="auto">
                    <a:xfrm>
                      <a:off x="0" y="0"/>
                      <a:ext cx="4114800" cy="1920239"/>
                    </a:xfrm>
                    <a:prstGeom prst="rect">
                      <a:avLst/>
                    </a:prstGeom>
                    <a:noFill/>
                    <a:ln w="9525">
                      <a:noFill/>
                      <a:headEnd/>
                      <a:tailEnd/>
                    </a:ln>
                  </pic:spPr>
                </pic:pic>
              </a:graphicData>
            </a:graphic>
          </wp:inline>
        </w:drawing>
      </w:r>
    </w:p>
    <w:p>
      <w:pPr>
        <w:pStyle w:val="BodyText"/>
      </w:pPr>
      <w:r>
        <w:t xml:space="preserve">Using an area diagram like this, the same reasoning shows that</w:t>
      </w:r>
      <w:r>
        <w:t xml:space="preserve"> </w:t>
      </w:r>
      <m:oMath>
        <m:f>
          <m:fPr>
            <m:type m:val="bar"/>
          </m:fPr>
          <m:num>
            <m:r>
              <m:t>5</m:t>
            </m:r>
          </m:num>
          <m:den>
            <m:r>
              <m:t>3</m:t>
            </m:r>
          </m:den>
        </m:f>
        <m:r>
          <m:rPr>
            <m:sty m:val="p"/>
          </m:rPr>
          <m:t>×</m:t>
        </m:r>
        <m:r>
          <m:t>4</m:t>
        </m:r>
        <m:r>
          <m:rPr>
            <m:sty m:val="p"/>
          </m:rPr>
          <m:t>=</m:t>
        </m:r>
        <m:d>
          <m:dPr>
            <m:begChr m:val="("/>
            <m:endChr m:val=")"/>
            <m:sepChr m:val=""/>
            <m:grow/>
          </m:dPr>
          <m:e>
            <m:r>
              <m:t>5</m:t>
            </m:r>
            <m:r>
              <m:rPr>
                <m:sty m:val="p"/>
              </m:rPr>
              <m:t>×</m:t>
            </m:r>
            <m:r>
              <m:t>4</m:t>
            </m:r>
          </m:e>
        </m:d>
        <m:r>
          <m:rPr>
            <m:sty m:val="p"/>
          </m:rPr>
          <m:t>×</m:t>
        </m:r>
        <m:f>
          <m:fPr>
            <m:type m:val="bar"/>
          </m:fPr>
          <m:num>
            <m:r>
              <m:t>1</m:t>
            </m:r>
          </m:num>
          <m:den>
            <m:r>
              <m:t>3</m:t>
            </m:r>
          </m:den>
        </m:f>
      </m:oMath>
      <w:r>
        <w:t xml:space="preserve">.</w:t>
      </w:r>
    </w:p>
    <w:bookmarkEnd w:id="32"/>
    <w:bookmarkStart w:id="33" w:name="access-for"/>
    <w:p>
      <w:pPr>
        <w:pStyle w:val="Heading3"/>
      </w:pPr>
      <w:r>
        <w:t xml:space="preserve">Access for:</w:t>
      </w:r>
    </w:p>
    <w:bookmarkEnd w:id="33"/>
    <w:bookmarkStart w:id="37" w:name="students-with-disabilities"/>
    <w:p>
      <w:pPr>
        <w:pStyle w:val="Heading3"/>
      </w:pPr>
      <w:r>
        <w:drawing>
          <wp:inline>
            <wp:extent cx="3810000" cy="2540000"/>
            <wp:effectExtent b="0" l="0" r="0" t="0"/>
            <wp:docPr descr="" title="" id="35"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7"/>
    <w:bookmarkStart w:id="41" w:name="english-learners"/>
    <w:p>
      <w:pPr>
        <w:pStyle w:val="Heading3"/>
      </w:pP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41"/>
    <w:bookmarkStart w:id="42" w:name="instructional-routines"/>
    <w:p>
      <w:pPr>
        <w:pStyle w:val="Heading3"/>
      </w:pPr>
      <w:r>
        <w:t xml:space="preserve">Instructional Routines</w:t>
      </w:r>
    </w:p>
    <w:p>
      <w:pPr>
        <w:pStyle w:val="FirstParagraph"/>
      </w:pPr>
      <w:r>
        <w:t xml:space="preserve">5 Practices (Activity 1), True or False (Warm-up)</w:t>
      </w:r>
    </w:p>
    <w:bookmarkEnd w:id="42"/>
    <w:bookmarkStart w:id="4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3"/>
    <w:bookmarkStart w:id="44" w:name="teacher-reflection-question"/>
    <w:p>
      <w:pPr>
        <w:pStyle w:val="Heading3"/>
      </w:pPr>
      <w:r>
        <w:t xml:space="preserve">Teacher Reflection Question</w:t>
      </w:r>
    </w:p>
    <w:p>
      <w:pPr>
        <w:numPr>
          <w:ilvl w:val="0"/>
          <w:numId w:val="1005"/>
        </w:numPr>
        <w:pStyle w:val="Compact"/>
      </w:pPr>
      <w:r>
        <w:t xml:space="preserve">Why is it important for students to be able to write and interpret different expressions to represent and find the area of rectangles with fractional side lengths?</w:t>
      </w:r>
    </w:p>
    <w:p>
      <w:r>
        <w:pict>
          <v:rect style="width:0;height:1.5pt" o:hralign="center" o:hrstd="t" o:hr="t"/>
        </w:pict>
      </w:r>
    </w:p>
    <w:bookmarkEnd w:id="44"/>
    <w:bookmarkStart w:id="4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área</w:t>
      </w:r>
    </w:p>
    <w:bookmarkEnd w:id="48"/>
    <w:bookmarkStart w:id="4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5.NF.B.4.b</w:t>
            </w:r>
          </w:p>
        </w:tc>
      </w:tr>
    </w:tbl>
    <w:bookmarkEnd w:id="49"/>
    <w:bookmarkStart w:id="53" w:name="student-facing-task-statement"/>
    <w:p>
      <w:pPr>
        <w:pStyle w:val="Heading3"/>
      </w:pPr>
      <w:r>
        <w:t xml:space="preserve">Student-facing Task Statement</w:t>
      </w:r>
    </w:p>
    <w:p>
      <w:pPr>
        <w:pStyle w:val="FirstParagraph"/>
      </w:pPr>
      <w:r>
        <w:drawing>
          <wp:inline>
            <wp:extent cx="4114800" cy="2743200"/>
            <wp:effectExtent b="0" l="0" r="0" t="0"/>
            <wp:docPr descr="Area diagram, Length, 3 and 2 thirds. Width, 3." title="" id="51" name="Picture"/>
            <a:graphic>
              <a:graphicData uri="http://schemas.openxmlformats.org/drawingml/2006/picture">
                <pic:pic>
                  <pic:nvPicPr>
                    <pic:cNvPr descr="/app/tmp/embedder-1671065364.5058246.png" id="52" name="Picture"/>
                    <pic:cNvPicPr>
                      <a:picLocks noChangeArrowheads="1" noChangeAspect="1"/>
                    </pic:cNvPicPr>
                  </pic:nvPicPr>
                  <pic:blipFill>
                    <a:blip r:embed="rId50"/>
                    <a:stretch>
                      <a:fillRect/>
                    </a:stretch>
                  </pic:blipFill>
                  <pic:spPr bwMode="auto">
                    <a:xfrm>
                      <a:off x="0" y="0"/>
                      <a:ext cx="4114800" cy="2743200"/>
                    </a:xfrm>
                    <a:prstGeom prst="rect">
                      <a:avLst/>
                    </a:prstGeom>
                    <a:noFill/>
                    <a:ln w="9525">
                      <a:noFill/>
                      <a:headEnd/>
                      <a:tailEnd/>
                    </a:ln>
                  </pic:spPr>
                </pic:pic>
              </a:graphicData>
            </a:graphic>
          </wp:inline>
        </w:drawing>
      </w:r>
    </w:p>
    <w:p>
      <w:pPr>
        <w:numPr>
          <w:ilvl w:val="0"/>
          <w:numId w:val="1006"/>
        </w:numPr>
        <w:pStyle w:val="Compact"/>
      </w:pPr>
      <w:r>
        <w:t xml:space="preserve">Escribe una expresión de multiplicación que represente el área de la región sombreada.</w:t>
      </w:r>
    </w:p>
    <w:p>
      <w:pPr>
        <w:numPr>
          <w:ilvl w:val="0"/>
          <w:numId w:val="1006"/>
        </w:numPr>
        <w:pStyle w:val="Compact"/>
      </w:pPr>
      <w:r>
        <w:t xml:space="preserve">¿Cuál es el área de la región sombreada?</w:t>
      </w:r>
    </w:p>
    <w:bookmarkEnd w:id="53"/>
    <w:bookmarkStart w:id="54" w:name="student-responses"/>
    <w:p>
      <w:pPr>
        <w:pStyle w:val="Heading3"/>
      </w:pPr>
      <w:r>
        <w:t xml:space="preserve">Student Responses</w:t>
      </w:r>
    </w:p>
    <w:p>
      <w:pPr>
        <w:numPr>
          <w:ilvl w:val="0"/>
          <w:numId w:val="1007"/>
        </w:numPr>
        <w:pStyle w:val="Compact"/>
      </w:pPr>
      <m:oMath>
        <m:r>
          <m:t>3</m:t>
        </m:r>
        <m:r>
          <m:rPr>
            <m:sty m:val="p"/>
          </m:rPr>
          <m:t>×</m:t>
        </m:r>
        <m:f>
          <m:fPr>
            <m:type m:val="bar"/>
          </m:fPr>
          <m:num>
            <m:r>
              <m:t>11</m:t>
            </m:r>
          </m:num>
          <m:den>
            <m:r>
              <m:t>3</m:t>
            </m:r>
          </m:den>
        </m:f>
      </m:oMath>
      <w:r>
        <w:t xml:space="preserve"> </w:t>
      </w:r>
      <w:r>
        <w:t xml:space="preserve">or</w:t>
      </w:r>
      <w:r>
        <w:t xml:space="preserve"> </w:t>
      </w:r>
      <m:oMath>
        <m:f>
          <m:fPr>
            <m:type m:val="bar"/>
          </m:fPr>
          <m:num>
            <m:r>
              <m:t>11</m:t>
            </m:r>
          </m:num>
          <m:den>
            <m:r>
              <m:t>3</m:t>
            </m:r>
          </m:den>
        </m:f>
        <m:r>
          <m:rPr>
            <m:sty m:val="p"/>
          </m:rPr>
          <m:t>×</m:t>
        </m:r>
        <m:r>
          <m:t>3</m:t>
        </m:r>
      </m:oMath>
      <w:r>
        <w:t xml:space="preserve"> </w:t>
      </w:r>
      <w:r>
        <w:t xml:space="preserve">or</w:t>
      </w:r>
      <w:r>
        <w:t xml:space="preserve"> </w:t>
      </w:r>
      <m:oMath>
        <m:f>
          <m:fPr>
            <m:type m:val="bar"/>
          </m:fPr>
          <m:num>
            <m:r>
              <m:t>11</m:t>
            </m:r>
            <m:r>
              <m:rPr>
                <m:sty m:val="p"/>
              </m:rPr>
              <m:t>×</m:t>
            </m:r>
            <m:r>
              <m:t>3</m:t>
            </m:r>
          </m:num>
          <m:den>
            <m:r>
              <m:t>3</m:t>
            </m:r>
          </m:den>
        </m:f>
      </m:oMath>
      <w:r>
        <w:t xml:space="preserve"> </w:t>
      </w:r>
      <w:r>
        <w:t xml:space="preserve">or</w:t>
      </w:r>
      <w:r>
        <w:t xml:space="preserve"> </w:t>
      </w:r>
      <m:oMath>
        <m:f>
          <m:fPr>
            <m:type m:val="bar"/>
          </m:fPr>
          <m:num>
            <m:r>
              <m:t>3</m:t>
            </m:r>
            <m:r>
              <m:rPr>
                <m:sty m:val="p"/>
              </m:rPr>
              <m:t>×</m:t>
            </m:r>
            <m:r>
              <m:t>11</m:t>
            </m:r>
          </m:num>
          <m:den>
            <m:r>
              <m:t>3</m:t>
            </m:r>
          </m:den>
        </m:f>
      </m:oMath>
    </w:p>
    <w:p>
      <w:pPr>
        <w:numPr>
          <w:ilvl w:val="0"/>
          <w:numId w:val="1007"/>
        </w:numPr>
        <w:pStyle w:val="Compact"/>
      </w:pPr>
      <w:r>
        <w:t xml:space="preserve">11 square units or equivalent</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50" Target="media/rId50.png" /><Relationship Type="http://schemas.openxmlformats.org/officeDocument/2006/relationships/image" Id="rId38" Target="media/rId38.svg" /><Relationship Type="http://schemas.openxmlformats.org/officeDocument/2006/relationships/image" Id="rId34" Target="media/rId34.svg" /><Relationship Type="http://schemas.openxmlformats.org/officeDocument/2006/relationships/image" Id="rId45" Target="media/rId4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2022-12-15T00:49:25Z</dcterms:created>
  <dcterms:modified xsi:type="dcterms:W3CDTF">2022-12-15T00:49:25Z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Awgajd508WqQhFmsnKb/64XsEhYpXc9duhK6LbNu+ronDF/UsvwJN1Vg+rLNwtODvARrkD3XkkY/mF9dx2H55w==</vt:lpwstr>
  </property>
</Properties>
</file>