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25.png" ContentType="image/png"/>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lesson-17-interpreting-rates"/>
    <w:p>
      <w:pPr>
        <w:pStyle w:val="Heading2"/>
      </w:pPr>
      <w:r>
        <w:t xml:space="preserve">Lesson 17: Interpreting Rates</w:t>
      </w:r>
    </w:p>
    <w:bookmarkEnd w:id="20"/>
    <w:p>
      <w:pPr>
        <w:pStyle w:val="FirstParagraph"/>
      </w:pPr>
      <w:r>
        <w:t xml:space="preserve">Let’s explore unit rates.</w:t>
      </w:r>
    </w:p>
    <w:bookmarkStart w:id="21" w:name="something-per-something"/>
    <w:p>
      <w:pPr>
        <w:pStyle w:val="Heading3"/>
      </w:pPr>
      <w:r>
        <w:t xml:space="preserve">17.1: Something per Something</w:t>
      </w:r>
    </w:p>
    <w:p>
      <w:pPr>
        <w:numPr>
          <w:ilvl w:val="0"/>
          <w:numId w:val="1001"/>
        </w:numPr>
        <w:pStyle w:val="Compact"/>
      </w:pPr>
      <w:r>
        <w:t xml:space="preserve">Think of two things you have heard described in terms of “something per something.”</w:t>
      </w:r>
    </w:p>
    <w:p>
      <w:pPr>
        <w:numPr>
          <w:ilvl w:val="0"/>
          <w:numId w:val="1001"/>
        </w:numPr>
      </w:pPr>
      <w:r>
        <w:t xml:space="preserve">Share your ideas with your group, and listen to everyone else’s idea. Make a group list of all unique ideas. Be prepared to share these with the class.</w:t>
      </w:r>
    </w:p>
    <w:bookmarkEnd w:id="21"/>
    <w:bookmarkStart w:id="22" w:name="cooking-oatmeal"/>
    <w:p>
      <w:pPr>
        <w:pStyle w:val="Heading3"/>
      </w:pPr>
      <w:r>
        <w:t xml:space="preserve">17.2: Cooking Oatmeal</w:t>
      </w:r>
    </w:p>
    <w:p>
      <w:pPr>
        <w:pStyle w:val="FirstParagraph"/>
      </w:pPr>
      <w:r>
        <w:t xml:space="preserve">Priya, Han, Lin, and Diego are all on a camping trip with their families. The first morning, Priya and Han make oatmeal for the group. The instructions for a large batch say, “Bring 15 cups of water to a boil, and then add 6 cups of oats.”</w:t>
      </w:r>
    </w:p>
    <w:p>
      <w:pPr>
        <w:numPr>
          <w:ilvl w:val="0"/>
          <w:numId w:val="1002"/>
        </w:numPr>
        <w:pStyle w:val="Compact"/>
      </w:pPr>
      <w:r>
        <w:t xml:space="preserve">Priya says, “The ratio of the cups of oats to the cups of water is</w:t>
      </w:r>
      <w:r>
        <w:t xml:space="preserve"> </w:t>
      </w:r>
      <m:oMath>
        <m:r>
          <m:t>6</m:t>
        </m:r>
        <m:r>
          <m:rPr>
            <m:sty m:val="p"/>
          </m:rPr>
          <m:t>:</m:t>
        </m:r>
        <m:r>
          <m:t>15</m:t>
        </m:r>
      </m:oMath>
      <w:r>
        <w:t xml:space="preserve">. That’s 0.4 cups of oats per cup of water.”</w:t>
      </w:r>
    </w:p>
    <w:p>
      <w:pPr>
        <w:numPr>
          <w:ilvl w:val="0"/>
          <w:numId w:val="1002"/>
        </w:numPr>
      </w:pPr>
      <w:r>
        <w:t xml:space="preserve">Han says, “The ratio of the cups of water to the cups of oats is</w:t>
      </w:r>
      <w:r>
        <w:t xml:space="preserve"> </w:t>
      </w:r>
      <m:oMath>
        <m:r>
          <m:t>15</m:t>
        </m:r>
        <m:r>
          <m:rPr>
            <m:sty m:val="p"/>
          </m:rPr>
          <m:t>:</m:t>
        </m:r>
        <m:r>
          <m:t>6</m:t>
        </m:r>
      </m:oMath>
      <w:r>
        <w:t xml:space="preserve">. That’s 2.5 cups of water per cup of oats.”</w:t>
      </w:r>
    </w:p>
    <w:p>
      <w:pPr>
        <w:numPr>
          <w:ilvl w:val="0"/>
          <w:numId w:val="1003"/>
        </w:numPr>
      </w:pPr>
      <w:r>
        <w:t xml:space="preserve">Who is correct? Explain your reasoning. If you get stuck, consider using the table.</w:t>
      </w:r>
    </w:p>
    <w:tbl>
      <w:tblPr>
        <w:tblStyle w:val="Table"/>
        <w:tblW w:type="auto" w:w="0"/>
        <w:tblLook w:firstRow="1" w:lastRow="0" w:firstColumn="0" w:lastColumn="0" w:noHBand="0" w:noVBand="0" w:val="0020"/>
      </w:tblPr>
      <w:tblGrid>
        <w:gridCol w:w="3960"/>
        <w:gridCol w:w="3960"/>
      </w:tblGrid>
      <w:tr>
        <w:trPr>
          <w:tblHeader w:val="true"/>
        </w:trPr>
        <w:tc>
          <w:tcPr/>
          <w:p>
            <w:pPr>
              <w:numPr>
                <w:ilvl w:val="0"/>
                <w:numId w:val="1000"/>
              </w:numPr>
              <w:pStyle w:val="Compact"/>
              <w:jc w:val="left"/>
            </w:pPr>
            <w:r>
              <w:t xml:space="preserve">water (cups)</w:t>
            </w:r>
          </w:p>
        </w:tc>
        <w:tc>
          <w:tcPr/>
          <w:p>
            <w:pPr>
              <w:numPr>
                <w:ilvl w:val="0"/>
                <w:numId w:val="1000"/>
              </w:numPr>
              <w:pStyle w:val="Compact"/>
              <w:jc w:val="left"/>
            </w:pPr>
            <w:r>
              <w:t xml:space="preserve">oats (cups)</w:t>
            </w:r>
          </w:p>
        </w:tc>
      </w:tr>
      <w:tr>
        <w:tc>
          <w:tcPr/>
          <w:p>
            <w:pPr>
              <w:numPr>
                <w:ilvl w:val="0"/>
                <w:numId w:val="1000"/>
              </w:numPr>
              <w:pStyle w:val="Compact"/>
              <w:jc w:val="left"/>
            </w:pPr>
            <w:r>
              <w:t xml:space="preserve">15</w:t>
            </w:r>
          </w:p>
        </w:tc>
        <w:tc>
          <w:tcPr/>
          <w:p>
            <w:pPr>
              <w:numPr>
                <w:ilvl w:val="0"/>
                <w:numId w:val="1000"/>
              </w:numPr>
              <w:pStyle w:val="Compact"/>
              <w:jc w:val="left"/>
            </w:pPr>
            <w:r>
              <w:t xml:space="preserve">6</w:t>
            </w:r>
          </w:p>
        </w:tc>
      </w:tr>
      <w:tr>
        <w:tc>
          <w:tcPr/>
          <w:p>
            <w:pPr>
              <w:numPr>
                <w:ilvl w:val="0"/>
                <w:numId w:val="1000"/>
              </w:numPr>
              <w:pStyle w:val="Compact"/>
              <w:jc w:val="left"/>
            </w:pPr>
            <w:r>
              <w:t xml:space="preserve">1</w:t>
            </w:r>
          </w:p>
        </w:tc>
        <w:tc>
          <w:tcPr/>
          <w:p>
            <w:pPr>
              <w:pStyle w:val="Compact"/>
            </w:pPr>
          </w:p>
        </w:tc>
      </w:tr>
      <w:tr>
        <w:tc>
          <w:tcPr/>
          <w:p>
            <w:pPr>
              <w:pStyle w:val="Compact"/>
            </w:pPr>
          </w:p>
        </w:tc>
        <w:tc>
          <w:tcPr/>
          <w:p>
            <w:pPr>
              <w:numPr>
                <w:ilvl w:val="0"/>
                <w:numId w:val="1000"/>
              </w:numPr>
              <w:pStyle w:val="Compact"/>
              <w:jc w:val="left"/>
            </w:pPr>
            <w:r>
              <w:t xml:space="preserve">1</w:t>
            </w:r>
          </w:p>
        </w:tc>
      </w:tr>
    </w:tbl>
    <w:p>
      <w:pPr>
        <w:numPr>
          <w:ilvl w:val="0"/>
          <w:numId w:val="1003"/>
        </w:numPr>
      </w:pPr>
      <w:r>
        <w:t xml:space="preserve">The next weekend after the camping trip, Lin and Diego each decide to cook a large batch of oatmeal to have breakfasts ready for the whole week.</w:t>
      </w:r>
    </w:p>
    <w:p>
      <w:pPr>
        <w:numPr>
          <w:ilvl w:val="1"/>
          <w:numId w:val="1004"/>
        </w:numPr>
        <w:pStyle w:val="Compact"/>
      </w:pPr>
      <w:r>
        <w:t xml:space="preserve">Lin decides to cook 5 cups of oats. How many cups of water should she boil?</w:t>
      </w:r>
    </w:p>
    <w:p>
      <w:pPr>
        <w:numPr>
          <w:ilvl w:val="1"/>
          <w:numId w:val="1004"/>
        </w:numPr>
        <w:pStyle w:val="Compact"/>
      </w:pPr>
      <w:r>
        <w:t xml:space="preserve">Diego boils 10 cups of water. How many cups of oats should he add into the water?</w:t>
      </w:r>
    </w:p>
    <w:p>
      <w:pPr>
        <w:numPr>
          <w:ilvl w:val="0"/>
          <w:numId w:val="1003"/>
        </w:numPr>
        <w:pStyle w:val="Compact"/>
      </w:pPr>
      <w:r>
        <w:t xml:space="preserve">Did you use Priya’s rate (0.4 cups of oats per cup of water) or Han’s rate (2.5 cups of water per cup of oats) to help you answer each of the previous two questions? Why?</w:t>
      </w:r>
    </w:p>
    <w:bookmarkEnd w:id="22"/>
    <w:bookmarkStart w:id="24" w:name="cheesecake-milk-and-raffle-tickets"/>
    <w:p>
      <w:pPr>
        <w:pStyle w:val="Heading3"/>
      </w:pPr>
      <w:r>
        <w:t xml:space="preserve">17.3: Cheesecake, Milk, and Raffle Tickets</w:t>
      </w:r>
    </w:p>
    <w:p>
      <w:pPr>
        <w:pStyle w:val="FirstParagraph"/>
      </w:pPr>
      <w:r>
        <w:t xml:space="preserve">For each situation, find the</w:t>
      </w:r>
      <w:r>
        <w:t xml:space="preserve"> </w:t>
      </w:r>
      <w:r>
        <w:rPr>
          <w:bCs/>
          <w:b/>
        </w:rPr>
        <w:t xml:space="preserve">unit rates</w:t>
      </w:r>
      <w:r>
        <w:t xml:space="preserve">.</w:t>
      </w:r>
    </w:p>
    <w:p>
      <w:pPr>
        <w:numPr>
          <w:ilvl w:val="0"/>
          <w:numId w:val="1005"/>
        </w:numPr>
      </w:pPr>
      <w:r>
        <w:t xml:space="preserve">A cheesecake recipe says, “Mix 12 oz of cream cheese with 15 oz of sugar.”</w:t>
      </w:r>
    </w:p>
    <w:p>
      <w:pPr>
        <w:numPr>
          <w:ilvl w:val="1"/>
          <w:numId w:val="1006"/>
        </w:numPr>
        <w:pStyle w:val="Compact"/>
      </w:pPr>
      <w:r>
        <w:t xml:space="preserve">How many ounces of cream cheese are there for every ounce of sugar?</w:t>
      </w:r>
    </w:p>
    <w:p>
      <w:pPr>
        <w:numPr>
          <w:ilvl w:val="1"/>
          <w:numId w:val="1007"/>
        </w:numPr>
        <w:pStyle w:val="Compact"/>
      </w:pPr>
      <w:r>
        <w:t xml:space="preserve">How many ounces of sugar is that for every ounce of cream cheese?</w:t>
      </w:r>
    </w:p>
    <w:p>
      <w:pPr>
        <w:numPr>
          <w:ilvl w:val="0"/>
          <w:numId w:val="1005"/>
        </w:numPr>
      </w:pPr>
      <w:r>
        <w:t xml:space="preserve">Mai’s family drinks a total of 10 gallons of milk every 6 weeks.</w:t>
      </w:r>
    </w:p>
    <w:p>
      <w:pPr>
        <w:numPr>
          <w:ilvl w:val="1"/>
          <w:numId w:val="1008"/>
        </w:numPr>
        <w:pStyle w:val="Compact"/>
      </w:pPr>
      <w:r>
        <w:t xml:space="preserve">How many gallons of milk does the family drink per week?</w:t>
      </w:r>
    </w:p>
    <w:p>
      <w:pPr>
        <w:numPr>
          <w:ilvl w:val="1"/>
          <w:numId w:val="1009"/>
        </w:numPr>
        <w:pStyle w:val="Compact"/>
      </w:pPr>
      <w:r>
        <w:t xml:space="preserve">How many weeks does it take the family to consume 1 gallon of milk?</w:t>
      </w:r>
    </w:p>
    <w:p>
      <w:pPr>
        <w:numPr>
          <w:ilvl w:val="0"/>
          <w:numId w:val="1005"/>
        </w:numPr>
      </w:pPr>
      <w:r>
        <w:t xml:space="preserve">Tyler paid</w:t>
      </w:r>
      <w:r>
        <w:t xml:space="preserve"> </w:t>
      </w:r>
      <w:r>
        <w:t xml:space="preserve">$</w:t>
      </w:r>
      <w:r>
        <w:t xml:space="preserve">16 for 4 raffle tickets.</w:t>
      </w:r>
    </w:p>
    <w:p>
      <w:pPr>
        <w:numPr>
          <w:ilvl w:val="1"/>
          <w:numId w:val="1010"/>
        </w:numPr>
        <w:pStyle w:val="Compact"/>
      </w:pPr>
      <w:r>
        <w:t xml:space="preserve">What is the price per ticket?</w:t>
      </w:r>
    </w:p>
    <w:p>
      <w:pPr>
        <w:numPr>
          <w:ilvl w:val="1"/>
          <w:numId w:val="1011"/>
        </w:numPr>
        <w:pStyle w:val="Compact"/>
      </w:pPr>
      <w:r>
        <w:t xml:space="preserve">How many tickets is that per dollar?</w:t>
      </w:r>
    </w:p>
    <w:p>
      <w:pPr>
        <w:numPr>
          <w:ilvl w:val="0"/>
          <w:numId w:val="1005"/>
        </w:numPr>
      </w:pPr>
      <w:r>
        <w:t xml:space="preserve">For each problem, decide which unit rate from the previous situations you prefer to use. Next, solve the problem, and show your thinking.</w:t>
      </w:r>
    </w:p>
    <w:p>
      <w:pPr>
        <w:numPr>
          <w:ilvl w:val="1"/>
          <w:numId w:val="1012"/>
        </w:numPr>
        <w:pStyle w:val="Compact"/>
      </w:pPr>
      <w:r>
        <w:t xml:space="preserve">If Lin wants to make extra cheesecake filling, how much cream cheese will she need to mix with 35 ounces of sugar?</w:t>
      </w:r>
    </w:p>
    <w:p>
      <w:pPr>
        <w:numPr>
          <w:ilvl w:val="1"/>
          <w:numId w:val="1012"/>
        </w:numPr>
        <w:pStyle w:val="Compact"/>
      </w:pPr>
      <w:r>
        <w:t xml:space="preserve">How many weeks will it take Mai’s family to finish 3 gallons of milk?</w:t>
      </w:r>
    </w:p>
    <w:p>
      <w:pPr>
        <w:numPr>
          <w:ilvl w:val="1"/>
          <w:numId w:val="1012"/>
        </w:numPr>
        <w:pStyle w:val="Compact"/>
      </w:pPr>
      <w:r>
        <w:t xml:space="preserve">How much would all 1,000 raffle tickets cost?</w:t>
      </w:r>
    </w:p>
    <w:bookmarkStart w:id="23" w:name="are-you-ready-for-more"/>
    <w:p>
      <w:pPr>
        <w:pStyle w:val="Heading4"/>
      </w:pPr>
      <w:r>
        <w:t xml:space="preserve">Are you ready for more?</w:t>
      </w:r>
    </w:p>
    <w:p>
      <w:pPr>
        <w:pStyle w:val="FirstParagraph"/>
      </w:pPr>
      <w:r>
        <w:t xml:space="preserve">Write a “deal” on tickets for Tyler’s raffle that sounds good, but is actually a little worse than just buying tickets at the normal price.</w:t>
      </w:r>
    </w:p>
    <w:bookmarkEnd w:id="23"/>
    <w:bookmarkEnd w:id="24"/>
    <w:bookmarkStart w:id="28" w:name="lesson-17-summary"/>
    <w:p>
      <w:pPr>
        <w:pStyle w:val="Heading3"/>
      </w:pPr>
      <w:r>
        <w:t xml:space="preserve">Lesson 17 Summary</w:t>
      </w:r>
    </w:p>
    <w:p>
      <w:pPr>
        <w:pStyle w:val="FirstParagraph"/>
      </w:pPr>
      <w:r>
        <w:t xml:space="preserve">Suppose a farm lets us pick 2 pounds of blueberries for 5 dollars. We can say:</w:t>
      </w:r>
    </w:p>
    <w:tbl>
      <w:tblPr>
        <w:tblStyle w:val="Table"/>
        <w:tblW w:type="pct" w:w="5000"/>
        <w:tblLook w:firstRow="1" w:lastRow="0" w:firstColumn="0" w:lastColumn="0" w:noHBand="0" w:noVBand="0" w:val="0020"/>
      </w:tblPr>
      <w:tblGrid>
        <w:gridCol w:w="3960"/>
        <w:gridCol w:w="3960"/>
      </w:tblGrid>
      <w:tr>
        <w:trPr>
          <w:tblHeader w:val="true"/>
        </w:trPr>
        <w:tc>
          <w:tcPr/>
          <w:p>
            <w:pPr>
              <w:pStyle w:val="Compact"/>
              <w:jc w:val="left"/>
            </w:pPr>
            <w:r>
              <w:t xml:space="preserve">blueberries</w:t>
            </w:r>
            <w:r>
              <w:br/>
            </w:r>
            <w:r>
              <w:t xml:space="preserve">(pounds)</w:t>
            </w:r>
          </w:p>
        </w:tc>
        <w:tc>
          <w:tcPr/>
          <w:p>
            <w:pPr>
              <w:pStyle w:val="Compact"/>
              <w:jc w:val="left"/>
            </w:pPr>
            <w:r>
              <w:t xml:space="preserve">price</w:t>
            </w:r>
            <w:r>
              <w:br/>
            </w:r>
            <w:r>
              <w:t xml:space="preserve">(dollars)</w:t>
            </w:r>
          </w:p>
        </w:tc>
      </w:tr>
      <w:tr>
        <w:tc>
          <w:tcPr/>
          <w:p>
            <w:pPr>
              <w:pStyle w:val="Compact"/>
              <w:jc w:val="left"/>
            </w:pPr>
            <w:r>
              <w:t xml:space="preserve">2</w:t>
            </w:r>
          </w:p>
        </w:tc>
        <w:tc>
          <w:tcPr/>
          <w:p>
            <w:pPr>
              <w:pStyle w:val="Compact"/>
              <w:jc w:val="left"/>
            </w:pPr>
            <w:r>
              <w:t xml:space="preserve">5</w:t>
            </w:r>
          </w:p>
        </w:tc>
      </w:tr>
      <w:tr>
        <w:tc>
          <w:tcPr/>
          <w:p>
            <w:pPr>
              <w:pStyle w:val="Compact"/>
              <w:jc w:val="left"/>
            </w:pPr>
            <w:r>
              <w:t xml:space="preserve">1</w:t>
            </w:r>
          </w:p>
        </w:tc>
        <w:tc>
          <w:tcPr/>
          <w:p>
            <w:pPr>
              <w:pStyle w:val="Compact"/>
              <w:jc w:val="left"/>
            </w:pPr>
            <m:oMath>
              <m:f>
                <m:fPr>
                  <m:type m:val="bar"/>
                </m:fPr>
                <m:num>
                  <m:r>
                    <m:t>5</m:t>
                  </m:r>
                </m:num>
                <m:den>
                  <m:r>
                    <m:t>2</m:t>
                  </m:r>
                </m:den>
              </m:f>
            </m:oMath>
          </w:p>
        </w:tc>
      </w:tr>
      <w:tr>
        <w:tc>
          <w:tcPr/>
          <w:p>
            <w:pPr>
              <w:pStyle w:val="Compact"/>
              <w:jc w:val="left"/>
            </w:pPr>
            <m:oMath>
              <m:f>
                <m:fPr>
                  <m:type m:val="bar"/>
                </m:fPr>
                <m:num>
                  <m:r>
                    <m:t>2</m:t>
                  </m:r>
                </m:num>
                <m:den>
                  <m:r>
                    <m:t>5</m:t>
                  </m:r>
                </m:den>
              </m:f>
            </m:oMath>
          </w:p>
        </w:tc>
        <w:tc>
          <w:tcPr/>
          <w:p>
            <w:pPr>
              <w:pStyle w:val="Compact"/>
              <w:jc w:val="left"/>
            </w:pPr>
            <w:r>
              <w:t xml:space="preserve">1</w:t>
            </w:r>
          </w:p>
        </w:tc>
      </w:tr>
    </w:tbl>
    <w:p>
      <w:pPr>
        <w:numPr>
          <w:ilvl w:val="0"/>
          <w:numId w:val="1013"/>
        </w:numPr>
        <w:pStyle w:val="Compact"/>
      </w:pPr>
      <w:r>
        <w:t xml:space="preserve">We get</w:t>
      </w:r>
      <w:r>
        <w:t xml:space="preserve"> </w:t>
      </w:r>
      <m:oMath>
        <m:f>
          <m:fPr>
            <m:type m:val="bar"/>
          </m:fPr>
          <m:num>
            <m:r>
              <m:t>2</m:t>
            </m:r>
          </m:num>
          <m:den>
            <m:r>
              <m:t>5</m:t>
            </m:r>
          </m:den>
        </m:f>
      </m:oMath>
      <w:r>
        <w:t xml:space="preserve"> </w:t>
      </w:r>
      <w:r>
        <w:t xml:space="preserve">pound of blueberries per dollar.</w:t>
      </w:r>
    </w:p>
    <w:p>
      <w:pPr>
        <w:numPr>
          <w:ilvl w:val="0"/>
          <w:numId w:val="1013"/>
        </w:numPr>
        <w:pStyle w:val="Compact"/>
      </w:pPr>
      <w:r>
        <w:t xml:space="preserve">The blueberries cost</w:t>
      </w:r>
      <w:r>
        <w:t xml:space="preserve"> </w:t>
      </w:r>
      <m:oMath>
        <m:f>
          <m:fPr>
            <m:type m:val="bar"/>
          </m:fPr>
          <m:num>
            <m:r>
              <m:t>5</m:t>
            </m:r>
          </m:num>
          <m:den>
            <m:r>
              <m:t>2</m:t>
            </m:r>
          </m:den>
        </m:f>
      </m:oMath>
      <w:r>
        <w:t xml:space="preserve"> </w:t>
      </w:r>
      <w:r>
        <w:t xml:space="preserve">dollars per pound.</w:t>
      </w:r>
    </w:p>
    <w:p>
      <w:pPr>
        <w:pStyle w:val="FirstParagraph"/>
      </w:pPr>
      <w:r>
        <w:t xml:space="preserve">The “cost per pound” and the “number of pounds per dollar” are the two</w:t>
      </w:r>
      <w:r>
        <w:t xml:space="preserve"> </w:t>
      </w:r>
      <w:r>
        <w:rPr>
          <w:iCs/>
          <w:i/>
        </w:rPr>
        <w:t xml:space="preserve">unit rates</w:t>
      </w:r>
      <w:r>
        <w:t xml:space="preserve"> </w:t>
      </w:r>
      <w:r>
        <w:t xml:space="preserve">for this situation.</w:t>
      </w:r>
    </w:p>
    <w:p>
      <w:pPr>
        <w:pStyle w:val="BodyText"/>
      </w:pPr>
      <w:r>
        <w:t xml:space="preserve">A</w:t>
      </w:r>
      <w:r>
        <w:t xml:space="preserve"> </w:t>
      </w:r>
      <w:r>
        <w:rPr>
          <w:bCs/>
          <w:b/>
        </w:rPr>
        <w:t xml:space="preserve">unit rate</w:t>
      </w:r>
      <w:r>
        <w:t xml:space="preserve"> </w:t>
      </w:r>
      <w:r>
        <w:t xml:space="preserve">tells us how much of one quantity for 1 of the other quantity. Each of these numbers is useful in the right situation.</w:t>
      </w:r>
    </w:p>
    <w:p>
      <w:pPr>
        <w:pStyle w:val="BodyText"/>
      </w:pPr>
      <w:r>
        <w:t xml:space="preserve">If we want to find out how much 8 pounds of blueberries will cost, it helps to know how much 1 pound of blueberries will cost.</w:t>
      </w:r>
    </w:p>
    <w:tbl>
      <w:tblPr>
        <w:tblStyle w:val="Table"/>
        <w:tblW w:type="pct" w:w="5000"/>
        <w:tblLook w:firstRow="1" w:lastRow="0" w:firstColumn="0" w:lastColumn="0" w:noHBand="0" w:noVBand="0" w:val="0020"/>
      </w:tblPr>
      <w:tblGrid>
        <w:gridCol w:w="3960"/>
        <w:gridCol w:w="3960"/>
      </w:tblGrid>
      <w:tr>
        <w:trPr>
          <w:tblHeader w:val="true"/>
        </w:trPr>
        <w:tc>
          <w:tcPr/>
          <w:p>
            <w:pPr>
              <w:pStyle w:val="Compact"/>
              <w:jc w:val="left"/>
            </w:pPr>
            <w:r>
              <w:t xml:space="preserve">blueberries</w:t>
            </w:r>
            <w:r>
              <w:br/>
            </w:r>
            <w:r>
              <w:t xml:space="preserve">(pounds)</w:t>
            </w:r>
          </w:p>
        </w:tc>
        <w:tc>
          <w:tcPr/>
          <w:p>
            <w:pPr>
              <w:pStyle w:val="Compact"/>
              <w:jc w:val="left"/>
            </w:pPr>
            <w:r>
              <w:t xml:space="preserve">price</w:t>
            </w:r>
            <w:r>
              <w:br/>
            </w:r>
            <w:r>
              <w:t xml:space="preserve">(dollars)</w:t>
            </w:r>
          </w:p>
        </w:tc>
      </w:tr>
      <w:tr>
        <w:tc>
          <w:tcPr/>
          <w:p>
            <w:pPr>
              <w:pStyle w:val="Compact"/>
              <w:jc w:val="left"/>
            </w:pPr>
            <w:r>
              <w:t xml:space="preserve">1</w:t>
            </w:r>
          </w:p>
        </w:tc>
        <w:tc>
          <w:tcPr/>
          <w:p>
            <w:pPr>
              <w:pStyle w:val="Compact"/>
              <w:jc w:val="left"/>
            </w:pPr>
            <m:oMath>
              <m:f>
                <m:fPr>
                  <m:type m:val="bar"/>
                </m:fPr>
                <m:num>
                  <m:r>
                    <m:t>5</m:t>
                  </m:r>
                </m:num>
                <m:den>
                  <m:r>
                    <m:t>2</m:t>
                  </m:r>
                </m:den>
              </m:f>
            </m:oMath>
          </w:p>
        </w:tc>
      </w:tr>
      <w:tr>
        <w:tc>
          <w:tcPr/>
          <w:p>
            <w:pPr>
              <w:pStyle w:val="Compact"/>
              <w:jc w:val="left"/>
            </w:pPr>
            <w:r>
              <w:t xml:space="preserve">8</w:t>
            </w:r>
          </w:p>
        </w:tc>
        <w:tc>
          <w:tcPr/>
          <w:p>
            <w:pPr>
              <w:pStyle w:val="Compact"/>
              <w:jc w:val="left"/>
            </w:pPr>
            <m:oMath>
              <m:r>
                <m:t>8</m:t>
              </m:r>
              <m:r>
                <m:rPr>
                  <m:sty m:val="p"/>
                </m:rPr>
                <m:t>⋅</m:t>
              </m:r>
              <m:f>
                <m:fPr>
                  <m:type m:val="bar"/>
                </m:fPr>
                <m:num>
                  <m:r>
                    <m:t>5</m:t>
                  </m:r>
                </m:num>
                <m:den>
                  <m:r>
                    <m:t>2</m:t>
                  </m:r>
                </m:den>
              </m:f>
            </m:oMath>
          </w:p>
        </w:tc>
      </w:tr>
    </w:tbl>
    <w:p>
      <w:pPr>
        <w:pStyle w:val="BodyText"/>
      </w:pPr>
      <w:r>
        <w:t xml:space="preserve">If we want to find out how many pounds we can buy for 10 dollars, it helps to know how many pounds we can buy for 1 dollar.</w:t>
      </w:r>
    </w:p>
    <w:tbl>
      <w:tblPr>
        <w:tblStyle w:val="Table"/>
        <w:tblW w:type="pct" w:w="5000"/>
        <w:tblLook w:firstRow="1" w:lastRow="0" w:firstColumn="0" w:lastColumn="0" w:noHBand="0" w:noVBand="0" w:val="0020"/>
      </w:tblPr>
      <w:tblGrid>
        <w:gridCol w:w="3960"/>
        <w:gridCol w:w="3960"/>
      </w:tblGrid>
      <w:tr>
        <w:trPr>
          <w:tblHeader w:val="true"/>
        </w:trPr>
        <w:tc>
          <w:tcPr/>
          <w:p>
            <w:pPr>
              <w:pStyle w:val="Compact"/>
              <w:jc w:val="left"/>
            </w:pPr>
            <w:r>
              <w:t xml:space="preserve">blueberries</w:t>
            </w:r>
            <w:r>
              <w:br/>
            </w:r>
            <w:r>
              <w:t xml:space="preserve">(pounds)</w:t>
            </w:r>
          </w:p>
        </w:tc>
        <w:tc>
          <w:tcPr/>
          <w:p>
            <w:pPr>
              <w:pStyle w:val="Compact"/>
              <w:jc w:val="left"/>
            </w:pPr>
            <w:r>
              <w:t xml:space="preserve">price</w:t>
            </w:r>
            <w:r>
              <w:br/>
            </w:r>
            <w:r>
              <w:t xml:space="preserve">(dollars)</w:t>
            </w:r>
          </w:p>
        </w:tc>
      </w:tr>
      <w:tr>
        <w:tc>
          <w:tcPr/>
          <w:p>
            <w:pPr>
              <w:pStyle w:val="Compact"/>
              <w:jc w:val="left"/>
            </w:pPr>
            <m:oMath>
              <m:f>
                <m:fPr>
                  <m:type m:val="bar"/>
                </m:fPr>
                <m:num>
                  <m:r>
                    <m:t>2</m:t>
                  </m:r>
                </m:num>
                <m:den>
                  <m:r>
                    <m:t>5</m:t>
                  </m:r>
                </m:den>
              </m:f>
            </m:oMath>
          </w:p>
        </w:tc>
        <w:tc>
          <w:tcPr/>
          <w:p>
            <w:pPr>
              <w:pStyle w:val="Compact"/>
              <w:jc w:val="left"/>
            </w:pPr>
            <w:r>
              <w:t xml:space="preserve">1</w:t>
            </w:r>
          </w:p>
        </w:tc>
      </w:tr>
      <w:tr>
        <w:tc>
          <w:tcPr/>
          <w:p>
            <w:pPr>
              <w:pStyle w:val="Compact"/>
              <w:jc w:val="left"/>
            </w:pPr>
            <m:oMath>
              <m:r>
                <m:t>10</m:t>
              </m:r>
              <m:r>
                <m:rPr>
                  <m:sty m:val="p"/>
                </m:rPr>
                <m:t>⋅</m:t>
              </m:r>
              <m:f>
                <m:fPr>
                  <m:type m:val="bar"/>
                </m:fPr>
                <m:num>
                  <m:r>
                    <m:t>2</m:t>
                  </m:r>
                </m:num>
                <m:den>
                  <m:r>
                    <m:t>5</m:t>
                  </m:r>
                </m:den>
              </m:f>
            </m:oMath>
          </w:p>
        </w:tc>
        <w:tc>
          <w:tcPr/>
          <w:p>
            <w:pPr>
              <w:pStyle w:val="Compact"/>
              <w:jc w:val="left"/>
            </w:pPr>
            <w:r>
              <w:t xml:space="preserve">10</w:t>
            </w:r>
          </w:p>
        </w:tc>
      </w:tr>
    </w:tbl>
    <w:p>
      <w:pPr>
        <w:pStyle w:val="BodyText"/>
      </w:pPr>
      <w:r>
        <w:t xml:space="preserve">Which unit rate is most useful depends on what question we want to answer, so be ready to find either one!</w:t>
      </w:r>
    </w:p>
    <w:p>
      <w:pPr>
        <w:pStyle w:val="BodyText"/>
      </w:pPr>
      <w:r>
        <w:drawing>
          <wp:inline>
            <wp:extent cx="762000" cy="266700"/>
            <wp:effectExtent b="0" l="0" r="0" t="0"/>
            <wp:docPr descr="" title="" id="26" name="Picture"/>
            <a:graphic>
              <a:graphicData uri="http://schemas.openxmlformats.org/drawingml/2006/picture">
                <pic:pic>
                  <pic:nvPicPr>
                    <pic:cNvPr descr="/app/app/assets/images/export/ccby_logo_small.png" id="27" name="Picture"/>
                    <pic:cNvPicPr>
                      <a:picLocks noChangeArrowheads="1" noChangeAspect="1"/>
                    </pic:cNvPicPr>
                  </pic:nvPicPr>
                  <pic:blipFill>
                    <a:blip r:embed="rId25"/>
                    <a:stretch>
                      <a:fillRect/>
                    </a:stretch>
                  </pic:blipFill>
                  <pic:spPr bwMode="auto">
                    <a:xfrm>
                      <a:off x="0" y="0"/>
                      <a:ext cx="762000" cy="266700"/>
                    </a:xfrm>
                    <a:prstGeom prst="rect">
                      <a:avLst/>
                    </a:prstGeom>
                    <a:noFill/>
                    <a:ln w="9525">
                      <a:noFill/>
                      <a:headEnd/>
                      <a:tailEnd/>
                    </a:ln>
                  </pic:spPr>
                </pic:pic>
              </a:graphicData>
            </a:graphic>
          </wp:inline>
        </w:drawing>
      </w:r>
    </w:p>
    <w:p>
      <w:pPr>
        <w:pStyle w:val="BodyText"/>
      </w:pPr>
      <w:r>
        <w:t xml:space="preserve">© CC BY Open Up Resources. Adaptations CC BY IM.</w:t>
      </w:r>
    </w:p>
    <w:bookmarkEnd w:id="28"/>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
    <w:abstractNumId w:val="0"/>
  </w:num>
  <w:num w:numId="2">
    <w:abstractNumId w:val="1"/>
  </w: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25" Target="media/rId25.pn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2022-12-15T03:31:27Z</dcterms:created>
  <dcterms:modified xsi:type="dcterms:W3CDTF">2022-12-15T03:31:27Z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AUhoPhVAmpVrIA4MDTbJR+DbBQJ0bnisELpqLbNhM3ziBpJ5eWMVQWOzpIHcMEiC3OtNrin3AHsFpqzKJAxl1A==</vt:lpwstr>
  </property>
</Properties>
</file>