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70f8420d2a439b8d143eb4f095b499ea0f8e93"/>
    <w:p>
      <w:pPr>
        <w:pStyle w:val="Heading2"/>
      </w:pPr>
      <w:r>
        <w:t xml:space="preserve">Lesson 19: End Behavior of Rational Functions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the end behavior of rational functions.</w:t>
      </w:r>
    </w:p>
    <w:bookmarkStart w:id="24" w:name="different-divisions-revisited"/>
    <w:p>
      <w:pPr>
        <w:pStyle w:val="Heading3"/>
      </w:pPr>
      <w:r>
        <w:t xml:space="preserve">19.1: Different Divisions, Revisited</w:t>
      </w:r>
    </w:p>
    <w:p>
      <w:pPr>
        <w:pStyle w:val="FirstParagraph"/>
      </w:pPr>
      <w:r>
        <w:t xml:space="preserve">Complete all three representations of the polynomial division following the forms of the integer division.</w:t>
      </w:r>
    </w:p>
    <w:p>
      <w:pPr>
        <w:pStyle w:val="BodyText"/>
      </w:pPr>
      <w:r>
        <w:drawing>
          <wp:inline>
            <wp:extent cx="1485900" cy="1828800"/>
            <wp:effectExtent b="0" l="0" r="0" t="0"/>
            <wp:docPr descr="Diagram of integer long division of 2,775 by 11 and the equivalent expression 252 + 3/11." title="" id="22" name="Picture"/>
            <a:graphic>
              <a:graphicData uri="http://schemas.openxmlformats.org/drawingml/2006/picture">
                <pic:pic>
                  <pic:nvPicPr>
                    <pic:cNvPr descr="/app/tmp/embedder-1671001391.066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right"/>
                  <m:count m:val="1"/>
                </m:mcPr>
              </m:mc>
            </m:mcs>
          </m:mPr>
          <m:mr>
            <m:e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55</m:t>
                  </m:r>
                </m:e>
              </m:phant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</m:mr>
        </m:m>
      </m:oMath>
    </w:p>
    <w:p>
      <w:pPr>
        <w:pStyle w:val="BodyText"/>
      </w:pPr>
      <m:oMath>
        <m:r>
          <m:t>2775</m:t>
        </m:r>
        <m:r>
          <m:rPr>
            <m:sty m:val="p"/>
          </m:rPr>
          <m:t>=</m:t>
        </m:r>
        <m:r>
          <m:t>11</m:t>
        </m:r>
        <m:d>
          <m:dPr>
            <m:begChr m:val="("/>
            <m:endChr m:val=")"/>
            <m:sepChr m:val=""/>
            <m:grow/>
          </m:dPr>
          <m:e>
            <m:r>
              <m:t>252</m:t>
            </m:r>
          </m:e>
        </m:d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m:oMath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2775</m:t>
            </m:r>
          </m:num>
          <m:den>
            <m:r>
              <m:t>11</m:t>
            </m:r>
          </m:den>
        </m:f>
        <m:r>
          <m:rPr>
            <m:sty m:val="p"/>
          </m:rPr>
          <m:t>=</m:t>
        </m:r>
        <m:r>
          <m:t>252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11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t>7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7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den>
        </m:f>
        <m:r>
          <m:rPr>
            <m:sty m:val="p"/>
          </m:rPr>
          <m:t>=</m:t>
        </m:r>
      </m:oMath>
    </w:p>
    <w:bookmarkEnd w:id="24"/>
    <w:bookmarkStart w:id="25" w:name="combined-fuel-economy"/>
    <w:p>
      <w:pPr>
        <w:pStyle w:val="Heading3"/>
      </w:pPr>
      <w:r>
        <w:t xml:space="preserve">19.2: Combined Fuel Economy</w:t>
      </w:r>
    </w:p>
    <w:p>
      <w:pPr>
        <w:pStyle w:val="FirstParagraph"/>
      </w:pPr>
      <w:r>
        <w:t xml:space="preserve">In 2000, the Environmental Protection Agency (EPA) reported a combined fuel efficiency for cars that assumes 55% city driving and 45% highway driving. The expression for the combined fuel efficiency of a car that gets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mpg in the city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mpg on the highway can be written as</w:t>
      </w:r>
      <w:r>
        <w:t xml:space="preserve"> </w:t>
      </w:r>
      <m:oMath>
        <m:f>
          <m:fPr>
            <m:type m:val="bar"/>
          </m:fPr>
          <m:num>
            <m:r>
              <m:t>100</m:t>
            </m:r>
            <m:r>
              <m:t>x</m:t>
            </m:r>
            <m:r>
              <m:t>h</m:t>
            </m:r>
          </m:num>
          <m:den>
            <m:r>
              <m:t>55</m:t>
            </m:r>
            <m:r>
              <m:t>x</m:t>
            </m:r>
            <m:r>
              <m:rPr>
                <m:sty m:val="p"/>
              </m:rPr>
              <m:t>+</m:t>
            </m:r>
            <m:r>
              <m:t>45</m:t>
            </m:r>
            <m:r>
              <m:t>h</m:t>
            </m:r>
          </m:den>
        </m:f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Several conventional cars have a fuel economy for highway driving that is about 10 mpg higher than for city driving. That is,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. Write a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that represents the combined fuel efficiency for cars like these in terms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Rewrite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in the form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f>
          <m:fPr>
            <m:type m:val="bar"/>
          </m:fPr>
          <m:num>
            <m:r>
              <m:t>r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</m:e>
            </m:d>
          </m:num>
          <m:den>
            <m:r>
              <m:t>b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</m:e>
            </m:d>
          </m:den>
        </m:f>
      </m:oMath>
      <w:r>
        <w:t xml:space="preserve"> </w:t>
      </w:r>
      <w:r>
        <w:t xml:space="preserve">where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and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are polynomials.</w:t>
      </w:r>
    </w:p>
    <w:bookmarkEnd w:id="25"/>
    <w:bookmarkStart w:id="27" w:name="exploring-end-behavior"/>
    <w:p>
      <w:pPr>
        <w:pStyle w:val="Heading3"/>
      </w:pPr>
      <w:r>
        <w:t xml:space="preserve">19.3: Exploring End Behavior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function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degree</w:t>
            </w:r>
            <w:r>
              <w:br/>
            </w:r>
            <w:r>
              <w:t xml:space="preserve">of num.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degree</w:t>
            </w:r>
            <w:r>
              <w:br/>
            </w:r>
            <w:r>
              <w:t xml:space="preserve">of den.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rewritten in the form of</w:t>
            </w:r>
            <w:r>
              <w:br/>
            </w:r>
            <m:oMath>
              <m:r>
                <m:t>q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r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</m:e>
                  </m:d>
                </m:num>
                <m:den>
                  <m:r>
                    <m:t>b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</m:e>
                  </m:d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end behavior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h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num>
                <m:den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j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num>
                <m:den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k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3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num>
                <m:den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m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num>
                <m:den>
                  <m:r>
                    <m:t>2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3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Complete the table to explore the end behavior for rational functions.</w:t>
      </w:r>
    </w:p>
    <w:p>
      <w:pPr>
        <w:numPr>
          <w:ilvl w:val="0"/>
          <w:numId w:val="1003"/>
        </w:numPr>
        <w:pStyle w:val="Compact"/>
      </w:pPr>
      <w:r>
        <w:t xml:space="preserve">What do you notice about the end behavior of different types of rational functions?</w:t>
      </w:r>
    </w:p>
    <w:bookmarkStart w:id="26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4"/>
        </w:numPr>
        <w:pStyle w:val="Compact"/>
      </w:pPr>
      <w:r>
        <w:t xml:space="preserve">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 the line it approaches.</w:t>
      </w:r>
    </w:p>
    <w:p>
      <w:pPr>
        <w:numPr>
          <w:ilvl w:val="0"/>
          <w:numId w:val="1004"/>
        </w:numPr>
        <w:pStyle w:val="Compact"/>
      </w:pPr>
      <w:r>
        <w:t xml:space="preserve">Under what conditions would the end behavior of the graph of a rational function approach a line that is not horizontal?</w:t>
      </w:r>
    </w:p>
    <w:p>
      <w:pPr>
        <w:numPr>
          <w:ilvl w:val="0"/>
          <w:numId w:val="1004"/>
        </w:numPr>
        <w:pStyle w:val="Compact"/>
      </w:pPr>
      <w:r>
        <w:t xml:space="preserve">Create a rational function that approaches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either the positive or negative direction.</w:t>
      </w:r>
    </w:p>
    <w:bookmarkEnd w:id="26"/>
    <w:bookmarkEnd w:id="27"/>
    <w:bookmarkStart w:id="34" w:name="lesson-19-summary"/>
    <w:p>
      <w:pPr>
        <w:pStyle w:val="Heading3"/>
      </w:pPr>
      <w:r>
        <w:t xml:space="preserve">Lesson 19 Summary</w:t>
      </w:r>
    </w:p>
    <w:p>
      <w:pPr>
        <w:pStyle w:val="FirstParagraph"/>
      </w:pPr>
      <w:r>
        <w:t xml:space="preserve">In earlier lessons, we saw rational functions whose end behavior could be described by a horizontal asymptote. For example, we can rewrite functions like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num>
          <m:den>
            <m:r>
              <m:t>x</m:t>
            </m:r>
          </m:den>
        </m:f>
      </m:oMath>
      <w:r>
        <w:t xml:space="preserve"> </w:t>
      </w:r>
      <w:r>
        <w:t xml:space="preserve">as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x</m:t>
            </m:r>
          </m:den>
        </m:f>
      </m:oMath>
      <w:r>
        <w:t xml:space="preserve"> </w:t>
      </w:r>
      <w:r>
        <w:t xml:space="preserve">to see more clearly that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either the positive or negative direction, the value of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x</m:t>
            </m:r>
          </m:den>
        </m:f>
      </m:oMath>
      <w:r>
        <w:t xml:space="preserve"> </w:t>
      </w:r>
      <w:r>
        <w:t xml:space="preserve">gets closer and closer to 0, which means the value of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 gets closer to 1. We can use similar thinking to understand rational functions that do not have horizontal asymptotes.</w:t>
      </w:r>
    </w:p>
    <w:p>
      <w:pPr>
        <w:pStyle w:val="BodyText"/>
      </w:pPr>
      <w:r>
        <w:t xml:space="preserve">For example, consider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den>
        </m:f>
      </m:oMath>
      <w:r>
        <w:t xml:space="preserve">. Using division, the expression can be rewritten as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26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den>
        </m:f>
      </m:oMath>
      <w:r>
        <w:t xml:space="preserve">.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either the positive or negative direction, the value of the term</w:t>
      </w:r>
      <w:r>
        <w:t xml:space="preserve"> </w:t>
      </w:r>
      <m:oMath>
        <m:f>
          <m:fPr>
            <m:type m:val="bar"/>
          </m:fPr>
          <m:num>
            <m:r>
              <m:t>26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den>
        </m:f>
      </m:oMath>
      <w:r>
        <w:t xml:space="preserve"> </w:t>
      </w:r>
      <w:r>
        <w:t xml:space="preserve">gets closer and closer to 0, which means the value of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 gets closer to the value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7</m:t>
        </m:r>
      </m:oMath>
      <w:r>
        <w:t xml:space="preserve">. This means that the end behavior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can be described by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7</m:t>
        </m:r>
      </m:oMath>
      <w:r>
        <w:t xml:space="preserve">. Here is a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7</m:t>
        </m:r>
      </m:oMath>
      <w:r>
        <w:t xml:space="preserve">, and the vertical asymptote of the function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:</w:t>
      </w:r>
    </w:p>
    <w:p>
      <w:pPr>
        <w:pStyle w:val="BodyText"/>
      </w:pPr>
      <w:r>
        <w:drawing>
          <wp:inline>
            <wp:extent cx="2574658" cy="2734437"/>
            <wp:effectExtent b="0" l="0" r="0" t="0"/>
            <wp:docPr descr="Graph of a rational function f(x) with no horizontal asymptotes, two dashed intersecting lines on coordinate plane." title="" id="29" name="Picture"/>
            <a:graphic>
              <a:graphicData uri="http://schemas.openxmlformats.org/drawingml/2006/picture">
                <pic:pic>
                  <pic:nvPicPr>
                    <pic:cNvPr descr="/app/tmp/embedder-1671001391.135681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58" cy="27344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2022-12-14T07:03:12Z</dcterms:created>
  <dcterms:modified xsi:type="dcterms:W3CDTF">2022-12-14T07:03:12Z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MVGEzOPcO4exYsj5Q+GlV12X9Fsjxol61N1NOnwd9T8VVcGVj1TD2nSGa+cShYk/ZH+N3TdM1GFRV6hKCBL2Yg==</vt:lpwstr>
  </property>
</Properties>
</file>