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40.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7" w:name="lesson-12-how-many-are-missing"/>
    <w:p>
      <w:pPr>
        <w:pStyle w:val="Heading1"/>
      </w:pPr>
      <w:r>
        <w:t xml:space="preserve">Lesson 12: How Many Are Missing?</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K.OA.A.3, K.OA.A.4</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Find the number that makes 10 when added to a given number.</w:t>
      </w:r>
    </w:p>
    <w:p>
      <w:pPr>
        <w:numPr>
          <w:ilvl w:val="0"/>
          <w:numId w:val="1001"/>
        </w:numPr>
        <w:pStyle w:val="Compact"/>
      </w:pPr>
      <w:r>
        <w:t xml:space="preserve">Match equations to compositions and decompositions of 10.</w:t>
      </w:r>
    </w:p>
    <w:bookmarkEnd w:id="24"/>
    <w:bookmarkStart w:id="25" w:name="student-facing-learning-goals"/>
    <w:p>
      <w:pPr>
        <w:pStyle w:val="Heading3"/>
      </w:pPr>
      <w:r>
        <w:t xml:space="preserve">Student-facing Learning Goals</w:t>
      </w:r>
    </w:p>
    <w:p>
      <w:pPr>
        <w:numPr>
          <w:ilvl w:val="0"/>
          <w:numId w:val="1002"/>
        </w:numPr>
        <w:pStyle w:val="Compact"/>
      </w:pPr>
      <w:r>
        <w:t xml:space="preserve">Let’s fill 10-frames in different ways.</w:t>
      </w:r>
    </w:p>
    <w:bookmarkEnd w:id="25"/>
    <w:bookmarkStart w:id="26" w:name="lesson-purpose"/>
    <w:p>
      <w:pPr>
        <w:pStyle w:val="Heading3"/>
      </w:pPr>
      <w:r>
        <w:t xml:space="preserve">Lesson Purpose</w:t>
      </w:r>
    </w:p>
    <w:p>
      <w:pPr>
        <w:pStyle w:val="FirstParagraph"/>
      </w:pPr>
      <w:r>
        <w:t xml:space="preserve">The purpose of this lesson is for students to compose and decompose 10 in multiple ways and find the number that makes 10 when added to a given number.</w:t>
      </w:r>
    </w:p>
    <w:p>
      <w:pPr>
        <w:pStyle w:val="BodyText"/>
      </w:pPr>
      <w:r>
        <w:t xml:space="preserve">In a previous lesson, students matched equations to compositions and decompositions of 10. In the first activity, students show many different compositions and decompositions of 10 with red and yellow counters. Students may know 5 and 5 as a way to compose and decompose 10, because this structure is highlighted when using fingers and 10-frames. In this lesson, students develop familiarity with other ways to compose 10. In the second activity, students determine how many counters are needed to fill a 10-frame.</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Engagement (Activity 2)</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1)</w:t>
      </w:r>
    </w:p>
    <w:bookmarkEnd w:id="35"/>
    <w:bookmarkStart w:id="36" w:name="instructional-routines"/>
    <w:p>
      <w:pPr>
        <w:pStyle w:val="Heading3"/>
      </w:pPr>
      <w:r>
        <w:t xml:space="preserve">Instructional Routines</w:t>
      </w:r>
    </w:p>
    <w:p>
      <w:pPr>
        <w:pStyle w:val="FirstParagraph"/>
      </w:pPr>
      <w:r>
        <w:t xml:space="preserve">Which One Doesn’t Belong? (Warm-up)</w:t>
      </w:r>
    </w:p>
    <w:bookmarkEnd w:id="36"/>
    <w:bookmarkStart w:id="37" w:name="materials-to-gather"/>
    <w:p>
      <w:pPr>
        <w:pStyle w:val="Heading3"/>
      </w:pPr>
      <w:r>
        <w:t xml:space="preserve">Materials to Gather</w:t>
      </w:r>
    </w:p>
    <w:p>
      <w:pPr>
        <w:numPr>
          <w:ilvl w:val="0"/>
          <w:numId w:val="1005"/>
        </w:numPr>
        <w:pStyle w:val="Compact"/>
      </w:pPr>
      <w:r>
        <w:t xml:space="preserve">Cups: Activity 1</w:t>
      </w:r>
    </w:p>
    <w:p>
      <w:pPr>
        <w:numPr>
          <w:ilvl w:val="0"/>
          <w:numId w:val="1005"/>
        </w:numPr>
        <w:pStyle w:val="Compact"/>
      </w:pPr>
      <w:r>
        <w:t xml:space="preserve">Materials from previous centers: Activity 3</w:t>
      </w:r>
    </w:p>
    <w:p>
      <w:pPr>
        <w:numPr>
          <w:ilvl w:val="0"/>
          <w:numId w:val="1005"/>
        </w:numPr>
        <w:pStyle w:val="Compact"/>
      </w:pPr>
      <w:r>
        <w:t xml:space="preserve">Two-color counters: Activity 1, Activity 2</w:t>
      </w:r>
    </w:p>
    <w:bookmarkEnd w:id="37"/>
    <w:bookmarkStart w:id="38"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10 min</w:t>
            </w:r>
          </w:p>
        </w:tc>
      </w:tr>
      <w:tr>
        <w:tc>
          <w:tcPr/>
          <w:p>
            <w:pPr>
              <w:pStyle w:val="Compact"/>
              <w:jc w:val="left"/>
            </w:pPr>
            <w:r>
              <w:t xml:space="preserve">Activity 2</w:t>
            </w:r>
          </w:p>
        </w:tc>
        <w:tc>
          <w:tcPr/>
          <w:p>
            <w:pPr>
              <w:pStyle w:val="Compact"/>
              <w:jc w:val="left"/>
            </w:pPr>
            <w:r>
              <w:t xml:space="preserve">10 min</w:t>
            </w:r>
          </w:p>
        </w:tc>
      </w:tr>
      <w:tr>
        <w:tc>
          <w:tcPr/>
          <w:p>
            <w:pPr>
              <w:pStyle w:val="Compact"/>
              <w:jc w:val="left"/>
            </w:pPr>
            <w:r>
              <w:t xml:space="preserve">Activity 3</w:t>
            </w:r>
          </w:p>
        </w:tc>
        <w:tc>
          <w:tcPr/>
          <w:p>
            <w:pPr>
              <w:pStyle w:val="Compact"/>
              <w:jc w:val="left"/>
            </w:pPr>
            <w:r>
              <w:t xml:space="preserve">25 min</w:t>
            </w:r>
          </w:p>
        </w:tc>
      </w:tr>
      <w:tr>
        <w:tc>
          <w:tcPr/>
          <w:p>
            <w:pPr>
              <w:pStyle w:val="Compact"/>
              <w:jc w:val="left"/>
            </w:pPr>
            <w:r>
              <w:t xml:space="preserve">Lesson Synthesis</w:t>
            </w:r>
          </w:p>
        </w:tc>
        <w:tc>
          <w:tcPr/>
          <w:p>
            <w:pPr>
              <w:pStyle w:val="Compact"/>
              <w:jc w:val="left"/>
            </w:pPr>
            <w:r>
              <w:t xml:space="preserve">5 min</w:t>
            </w:r>
          </w:p>
        </w:tc>
      </w:tr>
    </w:tbl>
    <w:bookmarkEnd w:id="38"/>
    <w:bookmarkStart w:id="39" w:name="teacher-reflection-question"/>
    <w:p>
      <w:pPr>
        <w:pStyle w:val="Heading3"/>
      </w:pPr>
      <w:r>
        <w:t xml:space="preserve">Teacher Reflection Question</w:t>
      </w:r>
    </w:p>
    <w:p>
      <w:pPr>
        <w:pStyle w:val="FirstParagraph"/>
      </w:pPr>
      <w:r>
        <w:t xml:space="preserve">Reflect on your experience with the Which One Doesn’t Belong warm-up in the curriculum. What moves or questions have improved the learning for each or your students during this routine? What improvements would you make next time?</w:t>
      </w:r>
    </w:p>
    <w:p>
      <w:r>
        <w:pict>
          <v:rect style="width:0;height:1.5pt" o:hralign="center" o:hrstd="t" o:hr="t"/>
        </w:pict>
      </w:r>
    </w:p>
    <w:bookmarkEnd w:id="39"/>
    <w:bookmarkStart w:id="43"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1"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0</w:t>
      </w:r>
      <w:r>
        <w:t xml:space="preserve">min</w:t>
      </w:r>
    </w:p>
    <w:p>
      <w:pPr>
        <w:pStyle w:val="BodyText"/>
      </w:pPr>
      <w:r>
        <w:t xml:space="preserve">Unit 5, Section C Checkpoint</w:t>
      </w:r>
    </w:p>
    <w:bookmarkEnd w:id="43"/>
    <w:bookmarkStart w:id="44"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K.OA.A.4</w:t>
            </w:r>
          </w:p>
        </w:tc>
      </w:tr>
    </w:tbl>
    <w:bookmarkEnd w:id="44"/>
    <w:bookmarkStart w:id="45" w:name="student-facing-task-statement"/>
    <w:p>
      <w:pPr>
        <w:pStyle w:val="Heading3"/>
      </w:pPr>
      <w:r>
        <w:t xml:space="preserve">Student-facing Task Statement</w:t>
      </w:r>
    </w:p>
    <w:p>
      <w:pPr>
        <w:pStyle w:val="FirstParagraph"/>
      </w:pPr>
      <w:r>
        <w:t xml:space="preserve">Lesson observations</w:t>
      </w:r>
    </w:p>
    <w:bookmarkEnd w:id="45"/>
    <w:bookmarkStart w:id="46" w:name="student-responses"/>
    <w:p>
      <w:pPr>
        <w:pStyle w:val="Heading3"/>
      </w:pPr>
      <w:r>
        <w:t xml:space="preserve">Student Responses</w:t>
      </w:r>
    </w:p>
    <w:p>
      <w:pPr>
        <w:numPr>
          <w:ilvl w:val="0"/>
          <w:numId w:val="1006"/>
        </w:numPr>
        <w:pStyle w:val="Compact"/>
      </w:pPr>
      <w:r>
        <w:t xml:space="preserve">Recognize that a full 10-frame contains 10 counters and that 2 hands have 10 fingers.</w:t>
      </w:r>
    </w:p>
    <w:p>
      <w:pPr>
        <w:numPr>
          <w:ilvl w:val="0"/>
          <w:numId w:val="1006"/>
        </w:numPr>
        <w:pStyle w:val="Compact"/>
      </w:pPr>
      <w:r>
        <w:t xml:space="preserve">Relate equations to compositions and decompositions of 10.</w:t>
      </w:r>
    </w:p>
    <w:p>
      <w:pPr>
        <w:numPr>
          <w:ilvl w:val="0"/>
          <w:numId w:val="1006"/>
        </w:numPr>
        <w:pStyle w:val="Compact"/>
      </w:pPr>
      <w:r>
        <w:t xml:space="preserve">Given a number, use the structure of 10-frames or fingers to determine how many more are needed to make 10.</w:t>
      </w:r>
    </w:p>
    <w:bookmarkEnd w:id="46"/>
    <w:bookmarkEnd w:id="47"/>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0" Target="media/rId40.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2022-12-14T08:57:40Z</dcterms:created>
  <dcterms:modified xsi:type="dcterms:W3CDTF">2022-12-14T08:57:40Z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0NQHwe6/KQZXA3LzE16cnf4PPBmS7pV+bWA5nQqpx1T00EKYgjfRW5Ln0e1COrD1x+dFn4ZkyGXo6tztfqbECQ==</vt:lpwstr>
  </property>
</Properties>
</file>