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6-center-day-1"/>
    <w:p>
      <w:pPr>
        <w:pStyle w:val="Heading1"/>
      </w:pPr>
      <w:r>
        <w:t xml:space="preserve">Lesson 6: Center Day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w:t>
      </w:r>
    </w:p>
    <w:p>
      <w:pPr>
        <w:pStyle w:val="BodyText"/>
      </w:pPr>
      <w:r>
        <w:t xml:space="preserve">Students begin with an activity focused on finding pairs of numbers that make 10. After spending time on this activity, students then choose from other center activities introduced in previous lessons.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Find the Pair Stage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Students worked in centers a lot in this section. What structures have you put in place to make center time successful for all students? What additional structures or procedures could be helpful to introduce?</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2022-12-14T09:09:43Z</dcterms:created>
  <dcterms:modified xsi:type="dcterms:W3CDTF">2022-12-14T09:09:43Z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LGsQy4WyFV6Zhan3cPvFMxKdQHwjO/lCz38lxAU+s6oIb1WS6TrtA1xhCukhn+lbK3U5+jexpFlK9cC0cTGw9w==</vt:lpwstr>
  </property>
</Properties>
</file>