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420301b823c3f9506a00e79302608b89cddb097"/>
    <w:p>
      <w:pPr>
        <w:pStyle w:val="Heading1"/>
      </w:pPr>
      <w:r>
        <w:t xml:space="preserve">Lesson 15: Comparemos fracciones que tienen el mismo denominador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 3.NF.A.3.d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the same denominator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dos fracciones que tienen el mismo denominador.</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the same denominator.</w:t>
      </w:r>
    </w:p>
    <w:p>
      <w:pPr>
        <w:pStyle w:val="BodyText"/>
      </w:pPr>
      <w:r>
        <w:t xml:space="preserve">In previous lessons, students learned that fractions are built from unit fractions. Here, they reason that fractions with the same denominator are composed of parts that are the same size or length, so the numerator, which describes the number of parts, determines which fraction is greater. It is important that students have the opportunity to develop this understanding rather than learning a rule about comparing fractions with the same denominator.</w:t>
      </w:r>
    </w:p>
    <w:p>
      <w:pPr>
        <w:pStyle w:val="BodyText"/>
      </w:pPr>
      <w:r>
        <w:t xml:space="preserve">Students are reminded that they can use the symbols &gt;, =, or &lt; to record the results of comparison of fractions, just as they did with whole numbers in earlier grades (MP6). This lesson (including the cool-down) enables the teacher to gauge students' familiarity with the symbols, but students are not yet expected to rely on the symbols to express comparison.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2</w:t>
      </w:r>
    </w:p>
    <w:p>
      <w:pPr>
        <w:numPr>
          <w:ilvl w:val="0"/>
          <w:numId w:val="1005"/>
        </w:numPr>
        <w:pStyle w:val="Compact"/>
      </w:pPr>
      <w:r>
        <w:t xml:space="preserve">Paper clips: Activity 2</w:t>
      </w:r>
    </w:p>
    <w:bookmarkEnd w:id="37"/>
    <w:bookmarkStart w:id="38" w:name="materials-to-copy"/>
    <w:p>
      <w:pPr>
        <w:pStyle w:val="Heading3"/>
      </w:pPr>
      <w:r>
        <w:t xml:space="preserve">Materials to Copy</w:t>
      </w:r>
    </w:p>
    <w:p>
      <w:pPr>
        <w:numPr>
          <w:ilvl w:val="0"/>
          <w:numId w:val="1006"/>
        </w:numPr>
        <w:pStyle w:val="Compact"/>
      </w:pPr>
      <w:r>
        <w:t xml:space="preserve">Spin to Win Recording Sheet, Spanish (groups of 2): Activity 2</w:t>
      </w:r>
    </w:p>
    <w:p>
      <w:pPr>
        <w:numPr>
          <w:ilvl w:val="0"/>
          <w:numId w:val="1006"/>
        </w:numPr>
        <w:pStyle w:val="Compact"/>
      </w:pPr>
      <w:r>
        <w:t xml:space="preserve">Spin to Win Spinner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prior knowledge about unit and non-unit fractions did you see students use to help them compare fractions?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mismo denominador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45"/>
    <w:bookmarkStart w:id="46" w:name="student-facing-task-statement"/>
    <w:p>
      <w:pPr>
        <w:pStyle w:val="Heading3"/>
      </w:pPr>
      <w:r>
        <w:t xml:space="preserve">Student-facing Task Statement</w:t>
      </w:r>
    </w:p>
    <w:p>
      <w:pPr>
        <w:numPr>
          <w:ilvl w:val="0"/>
          <w:numId w:val="1007"/>
        </w:numPr>
        <w:pStyle w:val="Compact"/>
      </w:pPr>
      <w:r>
        <w:t xml:space="preserve">¿Qué fracción es mayor:</w:t>
      </w:r>
      <w:r>
        <w:t xml:space="preserve"> </w:t>
      </w:r>
      <m:oMath>
        <m:f>
          <m:fPr>
            <m:type m:val="bar"/>
          </m:fPr>
          <m:num>
            <m:r>
              <m:t>7</m:t>
            </m:r>
          </m:num>
          <m:den>
            <m:r>
              <m:t>8</m:t>
            </m:r>
          </m:den>
        </m:f>
      </m:oMath>
      <w:r>
        <w:t xml:space="preserve"> </w:t>
      </w:r>
      <w:r>
        <w:t xml:space="preserve">o </w:t>
      </w:r>
      <m:oMath>
        <m:f>
          <m:fPr>
            <m:type m:val="bar"/>
          </m:fPr>
          <m:num>
            <m:r>
              <m:t>6</m:t>
            </m:r>
          </m:num>
          <m:den>
            <m:r>
              <m:t>8</m:t>
            </m:r>
          </m:den>
        </m:f>
      </m:oMath>
      <w:r>
        <w:t xml:space="preserve">? Explica o muestra tu razonamiento.</w:t>
      </w:r>
    </w:p>
    <w:p>
      <w:pPr>
        <w:numPr>
          <w:ilvl w:val="0"/>
          <w:numId w:val="1007"/>
        </w:numPr>
        <w:pStyle w:val="Compact"/>
      </w:pPr>
      <w:r>
        <w:t xml:space="preserve">Usa el símbolo &gt; o el símbolo &lt; para que la afirmación sea verdadera.</w:t>
      </w:r>
    </w:p>
    <w:p>
      <w:pPr>
        <w:pStyle w:val="FirstParagraph"/>
      </w:pPr>
      <m:oMath>
        <m:f>
          <m:fPr>
            <m:type m:val="bar"/>
          </m:fPr>
          <m:num>
            <m:r>
              <m:t>7</m:t>
            </m:r>
          </m:num>
          <m:den>
            <m:r>
              <m:t>8</m:t>
            </m:r>
          </m:den>
        </m:f>
        <m:r>
          <m:t> </m:t>
        </m:r>
        <m:limLow>
          <m:e>
            <m:phant>
              <m:phantPr>
                <m:show m:val="0"/>
              </m:phantPr>
              <m:e>
                <m:f>
                  <m:fPr>
                    <m:type m:val="bar"/>
                  </m:fPr>
                  <m:num>
                    <m:r>
                      <m:t>1</m:t>
                    </m:r>
                  </m:num>
                  <m:den>
                    <m:r>
                      <m:t>1</m:t>
                    </m:r>
                  </m:den>
                </m:f>
                <m:r>
                  <m:t> </m:t>
                </m:r>
              </m:e>
            </m:phant>
          </m:e>
          <m:lim>
            <m:r>
              <m:rPr>
                <m:sty m:val="p"/>
              </m:rPr>
              <m:t>_</m:t>
            </m:r>
          </m:lim>
        </m:limLow>
        <m:r>
          <m:t> </m:t>
        </m:r>
        <m:f>
          <m:fPr>
            <m:type m:val="bar"/>
          </m:fPr>
          <m:num>
            <m:r>
              <m:t>6</m:t>
            </m:r>
          </m:num>
          <m:den>
            <m:r>
              <m:t>8</m:t>
            </m:r>
          </m:den>
        </m:f>
      </m:oMath>
    </w:p>
    <w:bookmarkEnd w:id="46"/>
    <w:bookmarkStart w:id="47" w:name="student-responses"/>
    <w:p>
      <w:pPr>
        <w:pStyle w:val="Heading3"/>
      </w:pPr>
      <w:r>
        <w:t xml:space="preserve">Student Responses</w:t>
      </w:r>
    </w:p>
    <w:p>
      <w:pPr>
        <w:numPr>
          <w:ilvl w:val="0"/>
          <w:numId w:val="1008"/>
        </w:numPr>
        <w:pStyle w:val="Compact"/>
      </w:pPr>
      <m:oMath>
        <m:f>
          <m:fPr>
            <m:type m:val="bar"/>
          </m:fPr>
          <m:num>
            <m:r>
              <m:t>7</m:t>
            </m:r>
          </m:num>
          <m:den>
            <m:r>
              <m:t>8</m:t>
            </m:r>
          </m:den>
        </m:f>
      </m:oMath>
      <w:r>
        <w:t xml:space="preserve"> </w:t>
      </w:r>
      <w:r>
        <w:t xml:space="preserve">is greater. Sample response: Seven one-eighth parts are more than 6 one-eighth parts.</w:t>
      </w:r>
    </w:p>
    <w:p>
      <w:pPr>
        <w:numPr>
          <w:ilvl w:val="0"/>
          <w:numId w:val="1008"/>
        </w:numPr>
        <w:pStyle w:val="Compact"/>
      </w:pPr>
      <w:r>
        <w:t xml:space="preserve">&gt;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2022-12-15T00:02:41Z</dcterms:created>
  <dcterms:modified xsi:type="dcterms:W3CDTF">2022-12-15T00:02:41Z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EfUPtGZrYFu+Mn3Bw9QzE8xQXbIrETs4OzEW3zbhqaQ18UrtCuOYBnvW3t+SsB979bgkND+bZiO+u/OvQu6q+Q==</vt:lpwstr>
  </property>
</Properties>
</file>