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lesson-15-new-room-optional"/>
    <w:p>
      <w:pPr>
        <w:pStyle w:val="Heading1"/>
      </w:pPr>
      <w:r>
        <w:t xml:space="preserve">Lesson 15: New Room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3.MD.C.5, 3.MD.C.6, 3.MD.C.7.b, 3.MD.C.7.d</w:t>
            </w:r>
          </w:p>
        </w:tc>
      </w:tr>
      <w:tr>
        <w:tc>
          <w:tcPr/>
          <w:p>
            <w:pPr>
              <w:pStyle w:val="Compact"/>
              <w:jc w:val="left"/>
            </w:pPr>
            <w:r>
              <w:t xml:space="preserve">Building Towards</w:t>
            </w:r>
          </w:p>
        </w:tc>
        <w:tc>
          <w:tcPr/>
          <w:p>
            <w:pPr>
              <w:pStyle w:val="Compact"/>
              <w:jc w:val="left"/>
            </w:pPr>
            <w:r>
              <w:t xml:space="preserve">3.MD.C.7.b, 3.MD.C.7.d</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the area of ungridded figures composed of rectangles, including figures with missing side lengths.</w:t>
      </w:r>
    </w:p>
    <w:bookmarkEnd w:id="24"/>
    <w:bookmarkStart w:id="25" w:name="student-facing-learning-goals"/>
    <w:p>
      <w:pPr>
        <w:pStyle w:val="Heading3"/>
      </w:pPr>
      <w:r>
        <w:t xml:space="preserve">Student-facing Learning Goals</w:t>
      </w:r>
    </w:p>
    <w:p>
      <w:pPr>
        <w:numPr>
          <w:ilvl w:val="0"/>
          <w:numId w:val="1002"/>
        </w:numPr>
      </w:pPr>
      <w:r>
        <w:t xml:space="preserve">Let’s fit furniture into a room.</w:t>
      </w:r>
    </w:p>
    <w:bookmarkEnd w:id="25"/>
    <w:bookmarkStart w:id="26" w:name="lesson-purpose"/>
    <w:p>
      <w:pPr>
        <w:pStyle w:val="Heading3"/>
      </w:pPr>
      <w:r>
        <w:t xml:space="preserve">Lesson Purpose</w:t>
      </w:r>
    </w:p>
    <w:p>
      <w:pPr>
        <w:pStyle w:val="FirstParagraph"/>
      </w:pPr>
      <w:r>
        <w:t xml:space="preserve">The purpose of this lesson is for students to use their experience with areas of figures composed of rectangles to solve problems.</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solved rectangular area problems. They connected area problems to multiplication. They learned that area is additive as they found the area of figures composed of rectangles by decomposing them into non-overlapping rectangles.</w:t>
      </w:r>
    </w:p>
    <w:p>
      <w:pPr>
        <w:pStyle w:val="BodyText"/>
      </w:pPr>
      <w:r>
        <w:t xml:space="preserve">In this lesson, students find missing side lengths of a room and use their knowledge about areas of rectangles to solve a problem about fitting a bed and desk into a room. As students make decisions, they consider what space is really usable in the room or what is the best spot in the room for each piece of furniture.</w:t>
      </w:r>
    </w:p>
    <w:p>
      <w:pPr>
        <w:pStyle w:val="BodyText"/>
      </w:pPr>
      <w:r>
        <w:t xml:space="preserve">There are several ways to approach this problem and students are given freedom to choose their own strategy to make a decision (MP1).</w:t>
      </w:r>
    </w:p>
    <w:p>
      <w:pPr>
        <w:pStyle w:val="BodyText"/>
      </w:pPr>
      <w:r>
        <w:t xml:space="preserve">When students make choices and translate mathematics to real world contexts,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MLR5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Grid paper: Activity 2</w:t>
      </w:r>
    </w:p>
    <w:p>
      <w:pPr>
        <w:numPr>
          <w:ilvl w:val="0"/>
          <w:numId w:val="1005"/>
        </w:numPr>
        <w:pStyle w:val="Compact"/>
      </w:pPr>
      <w:r>
        <w:t xml:space="preserve">Scissors: Activity 2</w:t>
      </w:r>
    </w:p>
    <w:p>
      <w:pPr>
        <w:numPr>
          <w:ilvl w:val="0"/>
          <w:numId w:val="1005"/>
        </w:numPr>
        <w:pStyle w:val="Compact"/>
      </w:pPr>
      <w:r>
        <w:t xml:space="preserve">Tools for creating a visual display: Activity 2</w:t>
      </w:r>
    </w:p>
    <w:bookmarkEnd w:id="37"/>
    <w:bookmarkStart w:id="38" w:name="materials-to-copy"/>
    <w:p>
      <w:pPr>
        <w:pStyle w:val="Heading3"/>
      </w:pPr>
      <w:r>
        <w:t xml:space="preserve">Materials to Copy</w:t>
      </w:r>
    </w:p>
    <w:p>
      <w:pPr>
        <w:numPr>
          <w:ilvl w:val="0"/>
          <w:numId w:val="1006"/>
        </w:numPr>
        <w:pStyle w:val="Compact"/>
      </w:pPr>
      <w:r>
        <w:t xml:space="preserve">New Bed and Desk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unfinished learning or misunderstandings do your students have about the area of rectangles? How did you leverage those misconceptions in a positive way to further the understanding of the class?</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2022-12-14T12:15:55Z</dcterms:created>
  <dcterms:modified xsi:type="dcterms:W3CDTF">2022-12-14T12:15:55Z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4ke86FFpUqeHw5z2vQX8jYTSPgKf1Itb4Uq4rD1CrcLGQ/mxPeGq+kInP+jsYdDlvTpHhIte1kBkwF3cSU2unw==</vt:lpwstr>
  </property>
</Properties>
</file>