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2.svg" ContentType="image/svg+xml;base64"/>
  <Override PartName="/word/media/rId28.svg" ContentType="image/svg+xml;base64"/>
  <Override PartName="/word/media/rId41.svg" ContentType="image/svg+xml;base64"/>
  <Override PartName="/word/media/rId20.svg" ContentType="image/svg+xml;base64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drawing>
          <wp:inline>
            <wp:extent cx="3810000" cy="2540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data:image/svg+xml;base64,PHN2ZyBoZWlnaHQ9IjAuM2luIiB4bWxucz0iaHR0cDovL3d3dy53My5vcmcv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%0AWiIvPgogIDwvZz4KPC9zdmc+%0A" id="22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Start w:id="48" w:name="Xba8ce67ecc669dfa5f8aa83d68ffacc0febd150"/>
    <w:p>
      <w:pPr>
        <w:pStyle w:val="Heading1"/>
      </w:pPr>
      <w:r>
        <w:t xml:space="preserve">Lesson 8: Varias representaciones de decenas y unidades</w:t>
      </w:r>
    </w:p>
    <w:bookmarkStart w:id="23" w:name="standards-alignments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1.NBT.A.1, 1.NBT.B.2, 1.NBT.B.2.a</w:t>
            </w:r>
          </w:p>
        </w:tc>
      </w:tr>
    </w:tbl>
    <w:bookmarkEnd w:id="23"/>
    <w:bookmarkStart w:id="24" w:name="teacher-facing-learning-goals"/>
    <w:p>
      <w:pPr>
        <w:pStyle w:val="Heading3"/>
      </w:pPr>
      <w:r>
        <w:t xml:space="preserve">Teacher-facing Learning Goals</w:t>
      </w:r>
    </w:p>
    <w:p>
      <w:pPr>
        <w:numPr>
          <w:ilvl w:val="0"/>
          <w:numId w:val="1001"/>
        </w:numPr>
        <w:pStyle w:val="Compact"/>
      </w:pPr>
      <w:r>
        <w:t xml:space="preserve">Interpret different base-ten representations of two-digit numbers (drawings, words, and addition expressions).</w:t>
      </w:r>
    </w:p>
    <w:bookmarkEnd w:id="24"/>
    <w:bookmarkStart w:id="25" w:name="student-facing-learning-goals"/>
    <w:p>
      <w:pPr>
        <w:pStyle w:val="Heading3"/>
      </w:pPr>
      <w:r>
        <w:t xml:space="preserve">Student-facing Learning Goals</w:t>
      </w:r>
    </w:p>
    <w:p>
      <w:pPr>
        <w:numPr>
          <w:ilvl w:val="0"/>
          <w:numId w:val="1002"/>
        </w:numPr>
        <w:pStyle w:val="Compact"/>
      </w:pPr>
      <w:r>
        <w:t xml:space="preserve">Pensemos cómo se pueden mostrar los números de dos dígitos.</w:t>
      </w:r>
    </w:p>
    <w:bookmarkEnd w:id="25"/>
    <w:bookmarkStart w:id="26" w:name="lesson-purpose"/>
    <w:p>
      <w:pPr>
        <w:pStyle w:val="Heading3"/>
      </w:pPr>
      <w:r>
        <w:t xml:space="preserve">Lesson Purpose</w:t>
      </w:r>
    </w:p>
    <w:p>
      <w:pPr>
        <w:pStyle w:val="FirstParagraph"/>
      </w:pPr>
      <w:r>
        <w:t xml:space="preserve">The purpose of this lesson is for students to interpret base-ten representations of two-digit numbers.</w:t>
      </w:r>
    </w:p>
    <w:p>
      <w:pPr>
        <w:pStyle w:val="BodyText"/>
      </w:pPr>
      <w:r>
        <w:t xml:space="preserve">In previous lessons, students learned that the digit on the left of a two-digit number tells the number of tens and the digit on the right tells the number of ones.</w:t>
      </w:r>
    </w:p>
    <w:p>
      <w:pPr>
        <w:pStyle w:val="BodyText"/>
      </w:pPr>
      <w:r>
        <w:t xml:space="preserve">In this lesson, students interpret three different base-ten representations: base-ten diagrams, _____ tens _____ ones, and addition expressions that represent the value of each digit. This is the first time students see expressions representing two-digit numbers other than 10 + n expressions representing teen numbers. Students match representations that show the same value.</w:t>
      </w:r>
    </w:p>
    <w:p>
      <w:pPr>
        <w:pStyle w:val="BodyText"/>
      </w:pPr>
      <w:r>
        <w:t xml:space="preserve">At this time, students are not expected to write two-digit numbers, but continue to make sense of how to read and say them based on their base-ten structure. The teacher should record two-digit numbers when students say them.</w:t>
      </w:r>
    </w:p>
    <w:bookmarkEnd w:id="26"/>
    <w:bookmarkStart w:id="27" w:name="access-for"/>
    <w:p>
      <w:pPr>
        <w:pStyle w:val="Heading3"/>
      </w:pPr>
      <w:r>
        <w:t xml:space="preserve">Access for:</w:t>
      </w:r>
    </w:p>
    <w:bookmarkEnd w:id="27"/>
    <w:bookmarkStart w:id="31" w:name="students-with-disabilitie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+Cjwvc3ZnPg==" id="30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28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Students with Disabilities</w:t>
      </w:r>
    </w:p>
    <w:p>
      <w:pPr>
        <w:numPr>
          <w:ilvl w:val="0"/>
          <w:numId w:val="1003"/>
        </w:numPr>
        <w:pStyle w:val="Compact"/>
      </w:pPr>
      <w:r>
        <w:t xml:space="preserve">Engagement (Activity 2)</w:t>
      </w:r>
    </w:p>
    <w:bookmarkEnd w:id="31"/>
    <w:bookmarkStart w:id="35" w:name="english-learners"/>
    <w:p>
      <w:pPr>
        <w:pStyle w:val="Heading3"/>
      </w:pPr>
      <w:r>
        <w:drawing>
          <wp:inline>
            <wp:extent cx="3810000" cy="2540000"/>
            <wp:effectExtent b="0" l="0" r="0" t="0"/>
            <wp:docPr descr="" title="" id="33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+PC9wYXRoPgo8L3N2Zz4=" id="34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32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English Learners</w:t>
      </w:r>
    </w:p>
    <w:p>
      <w:pPr>
        <w:numPr>
          <w:ilvl w:val="0"/>
          <w:numId w:val="1004"/>
        </w:numPr>
        <w:pStyle w:val="Compact"/>
      </w:pPr>
      <w:r>
        <w:t xml:space="preserve">MLR7 (Activity 1)</w:t>
      </w:r>
    </w:p>
    <w:bookmarkEnd w:id="35"/>
    <w:bookmarkStart w:id="36" w:name="instructional-routines"/>
    <w:p>
      <w:pPr>
        <w:pStyle w:val="Heading3"/>
      </w:pPr>
      <w:r>
        <w:t xml:space="preserve">Instructional Routines</w:t>
      </w:r>
    </w:p>
    <w:p>
      <w:pPr>
        <w:pStyle w:val="FirstParagraph"/>
      </w:pPr>
      <w:r>
        <w:t xml:space="preserve">Estimation Exploration (Warm-up)</w:t>
      </w:r>
    </w:p>
    <w:bookmarkEnd w:id="36"/>
    <w:bookmarkStart w:id="37" w:name="materials-to-gather"/>
    <w:p>
      <w:pPr>
        <w:pStyle w:val="Heading3"/>
      </w:pPr>
      <w:r>
        <w:t xml:space="preserve">Materials to Gather</w:t>
      </w:r>
    </w:p>
    <w:p>
      <w:pPr>
        <w:numPr>
          <w:ilvl w:val="0"/>
          <w:numId w:val="1005"/>
        </w:numPr>
        <w:pStyle w:val="Compact"/>
      </w:pPr>
      <w:r>
        <w:t xml:space="preserve">Base-ten blocks: Activity 3</w:t>
      </w:r>
    </w:p>
    <w:p>
      <w:pPr>
        <w:numPr>
          <w:ilvl w:val="0"/>
          <w:numId w:val="1005"/>
        </w:numPr>
        <w:pStyle w:val="Compact"/>
      </w:pPr>
      <w:r>
        <w:t xml:space="preserve">Connecting cubes in towers of 10 and singles: Activity 1, Activity 2</w:t>
      </w:r>
    </w:p>
    <w:bookmarkEnd w:id="37"/>
    <w:bookmarkStart w:id="38" w:name="materials-to-copy"/>
    <w:p>
      <w:pPr>
        <w:pStyle w:val="Heading3"/>
      </w:pPr>
      <w:r>
        <w:t xml:space="preserve">Materials to Copy</w:t>
      </w:r>
    </w:p>
    <w:p>
      <w:pPr>
        <w:numPr>
          <w:ilvl w:val="0"/>
          <w:numId w:val="1006"/>
        </w:numPr>
        <w:pStyle w:val="Compact"/>
      </w:pPr>
      <w:r>
        <w:t xml:space="preserve">Representations of Tens and Ones, Spanish (groups of 2): Activity 2</w:t>
      </w:r>
    </w:p>
    <w:p>
      <w:pPr>
        <w:numPr>
          <w:ilvl w:val="0"/>
          <w:numId w:val="1006"/>
        </w:numPr>
        <w:pStyle w:val="Compact"/>
      </w:pPr>
      <w:r>
        <w:t xml:space="preserve">Grab and Count Stage 2 Recording Sheet, Spanish (groups of 1): Activity 3</w:t>
      </w:r>
    </w:p>
    <w:bookmarkEnd w:id="38"/>
    <w:bookmarkStart w:id="39" w:name="lesson-timeline"/>
    <w:p>
      <w:pPr>
        <w:pStyle w:val="Heading3"/>
      </w:pPr>
      <w:r>
        <w:t xml:space="preserve">Lesson Timeline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Warm-up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2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Activity 3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15 min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Lesson Synthesis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10 min</w:t>
            </w:r>
          </w:p>
        </w:tc>
      </w:tr>
    </w:tbl>
    <w:bookmarkEnd w:id="39"/>
    <w:bookmarkStart w:id="40" w:name="teacher-reflection-question"/>
    <w:p>
      <w:pPr>
        <w:pStyle w:val="Heading3"/>
      </w:pPr>
      <w:r>
        <w:t xml:space="preserve">Teacher Reflection Question</w:t>
      </w:r>
    </w:p>
    <w:p>
      <w:pPr>
        <w:pStyle w:val="FirstParagraph"/>
      </w:pPr>
      <w:r>
        <w:t xml:space="preserve">What was the best question you asked students today? Why would you consider it the best one based on what students said or did?</w:t>
      </w:r>
    </w:p>
    <w:p>
      <w:r>
        <w:pict>
          <v:rect style="width:0;height:1.5pt" o:hralign="center" o:hrstd="t" o:hr="t"/>
        </w:pict>
      </w:r>
    </w:p>
    <w:bookmarkEnd w:id="40"/>
    <w:bookmarkStart w:id="44" w:name="cool-down"/>
    <w:p>
      <w:pPr>
        <w:pStyle w:val="Heading2"/>
      </w:pPr>
      <w:r>
        <w:t xml:space="preserve">Cool-down</w:t>
      </w:r>
    </w:p>
    <w:p>
      <w:pPr>
        <w:pStyle w:val="FirstParagraph"/>
      </w:pPr>
      <w:r>
        <w:t xml:space="preserve">(to be completed at the end of the lesson)</w:t>
      </w:r>
      <w:r>
        <w:t xml:space="preserve"> </w:t>
      </w:r>
      <w:r>
        <w:drawing>
          <wp:inline>
            <wp:extent cx="3810000" cy="2540000"/>
            <wp:effectExtent b="0" l="0" r="0" t="0"/>
            <wp:docPr descr="" title="" id="42" name="Picture"/>
            <a:graphic>
              <a:graphicData uri="http://schemas.openxmlformats.org/drawingml/2006/picture">
                <pic:pic>
                  <pic:nvPicPr>
                    <pic:cNvPr descr="data:image/svg+xml;base64,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+PC9wYXRoPgogIDwvc3ZnPg==" id="43" name="Picture"/>
                    <pic:cNvPicPr>
                      <a:picLocks noChangeArrowheads="1" noChangeAspect="1"/>
                    </pic:cNvPicPr>
                  </pic:nvPicPr>
                  <pic:blipFill>
                    <a:blip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41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540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</w:t>
      </w:r>
      <w:r>
        <w:t xml:space="preserve">0</w:t>
      </w:r>
      <w:r>
        <w:t xml:space="preserve">min</w:t>
      </w:r>
    </w:p>
    <w:p>
      <w:pPr>
        <w:pStyle w:val="BodyText"/>
      </w:pPr>
      <w:r>
        <w:t xml:space="preserve">Unidad 4, punto de chequeo de la sección B</w:t>
      </w:r>
    </w:p>
    <w:bookmarkEnd w:id="44"/>
    <w:bookmarkStart w:id="45" w:name="standards-alignments-1"/>
    <w:p>
      <w:pPr>
        <w:pStyle w:val="Heading3"/>
      </w:pPr>
      <w:r>
        <w:t xml:space="preserve">Standards Alignments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3960"/>
        <w:gridCol w:w="3960"/>
      </w:tblGrid>
      <w:tr>
        <w:tc>
          <w:tcPr/>
          <w:p>
            <w:pPr>
              <w:pStyle w:val="Compact"/>
              <w:jc w:val="left"/>
            </w:pPr>
            <w:r>
              <w:t xml:space="preserve">Addressing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1.NBT.B.2</w:t>
            </w:r>
          </w:p>
        </w:tc>
      </w:tr>
    </w:tbl>
    <w:bookmarkEnd w:id="45"/>
    <w:bookmarkStart w:id="46" w:name="student-facing-task-statement"/>
    <w:p>
      <w:pPr>
        <w:pStyle w:val="Heading3"/>
      </w:pPr>
      <w:r>
        <w:t xml:space="preserve">Student-facing Task Statement</w:t>
      </w:r>
    </w:p>
    <w:p>
      <w:pPr>
        <w:pStyle w:val="FirstParagraph"/>
      </w:pPr>
      <w:r>
        <w:t xml:space="preserve">Lesson observations</w:t>
      </w:r>
    </w:p>
    <w:bookmarkEnd w:id="46"/>
    <w:bookmarkStart w:id="47" w:name="student-responses"/>
    <w:p>
      <w:pPr>
        <w:pStyle w:val="Heading3"/>
      </w:pPr>
      <w:r>
        <w:t xml:space="preserve">Student Responses</w:t>
      </w:r>
    </w:p>
    <w:p>
      <w:pPr>
        <w:numPr>
          <w:ilvl w:val="0"/>
          <w:numId w:val="1007"/>
        </w:numPr>
        <w:pStyle w:val="Compact"/>
      </w:pPr>
      <w:r>
        <w:t xml:space="preserve">Recognize different base-ten representations of the same number.</w:t>
      </w:r>
    </w:p>
    <w:bookmarkEnd w:id="47"/>
    <w:bookmarkEnd w:id="4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2" Target="media/rId32.svg" /><Relationship Type="http://schemas.openxmlformats.org/officeDocument/2006/relationships/image" Id="rId28" Target="media/rId28.svg" /><Relationship Type="http://schemas.openxmlformats.org/officeDocument/2006/relationships/image" Id="rId41" Target="media/rId41.svg" /><Relationship Type="http://schemas.openxmlformats.org/officeDocument/2006/relationships/image" Id="rId20" Target="media/rId20.sv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2022-12-14T23:06:23Z</dcterms:created>
  <dcterms:modified xsi:type="dcterms:W3CDTF">2022-12-14T23:06:23Z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X+qPWAmv6W0PiO6IqXQqPkSgG75DIAi5gBTbuT2Cwjd77soBZScRMMpsTZb4EAZWfUhiOFeqVaIFnj7JSY3Bag==</vt:lpwstr>
  </property>
</Properties>
</file>