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9295534733513ed0b1796c95fa01d05f69709a0"/>
    <w:p>
      <w:pPr>
        <w:pStyle w:val="Heading1"/>
      </w:pPr>
      <w:r>
        <w:t xml:space="preserve">Lesson 8: Más preguntas sobre gráficas de barras con escala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one- and two-step “how many more” and “how many fewer” problems within 100, based on the data presented in scaled bar graphs.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usando datos que se muestran en gráficas de barras.</w:t>
      </w:r>
    </w:p>
    <w:bookmarkEnd w:id="25"/>
    <w:bookmarkStart w:id="26" w:name="lesson-purpose"/>
    <w:p>
      <w:pPr>
        <w:pStyle w:val="Heading3"/>
      </w:pPr>
      <w:r>
        <w:t xml:space="preserve">Lesson Purpose</w:t>
      </w:r>
    </w:p>
    <w:p>
      <w:pPr>
        <w:pStyle w:val="FirstParagraph"/>
      </w:pPr>
      <w:r>
        <w:t xml:space="preserve">The purpose of this lesson is for students to solve one- and two-step “how many more” and “how many fewer” problems, based on data presented in a scaled bar graph.</w:t>
      </w:r>
    </w:p>
    <w:p>
      <w:pPr>
        <w:pStyle w:val="BodyText"/>
      </w:pPr>
      <w:r>
        <w:t xml:space="preserve">This lesson introduces Three Reads (MLR 6) to support students in making sense of and solving situations. In this lesson students continue to interpret graphs that represent quantities that are not exact multiples of the scale and require students to estimate values. As a result, answers may vary slightly. Accept all answers that align to reasonable estimates.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MLR6 Three Reads (Activity 1), 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Momento para leer</w:t>
      </w:r>
    </w:p>
    <w:bookmarkEnd w:id="42"/>
    <w:bookmarkStart w:id="46" w:name="student-facing-task-statement"/>
    <w:p>
      <w:pPr>
        <w:pStyle w:val="Heading3"/>
      </w:pPr>
      <w:r>
        <w:t xml:space="preserve">Student-facing Task Statement</w:t>
      </w:r>
    </w:p>
    <w:p>
      <w:pPr>
        <w:pStyle w:val="FirstParagraph"/>
      </w:pPr>
      <w:r>
        <w:t xml:space="preserve">A un grupo de estudiantes le preguntaron: “¿Cuál es tu momento favorito del día para leer?”. Sus respuestas se muestran en esta gráfica de barras:</w:t>
      </w:r>
    </w:p>
    <w:p>
      <w:pPr>
        <w:pStyle w:val="BodyText"/>
      </w:pPr>
      <w:r>
        <w:drawing>
          <wp:inline>
            <wp:extent cx="3318662" cy="3284131"/>
            <wp:effectExtent b="0" l="0" r="0" t="0"/>
            <wp:docPr descr="Bar graph. Favorite Time to Read. Vertical axis labeled number of students from 0 to 50 by 5s. Horizontal axis labeled morning, lunchtime, afternoon, evenings. Height of bar: morning, 12. lunchtime, 25. afternoon, 23. evenings, 44." title="" id="44" name="Picture"/>
            <a:graphic>
              <a:graphicData uri="http://schemas.openxmlformats.org/drawingml/2006/picture">
                <pic:pic>
                  <pic:nvPicPr>
                    <pic:cNvPr descr="/app/tmp/embedder-1671062061.8908484.png" id="45" name="Picture"/>
                    <pic:cNvPicPr>
                      <a:picLocks noChangeArrowheads="1" noChangeAspect="1"/>
                    </pic:cNvPicPr>
                  </pic:nvPicPr>
                  <pic:blipFill>
                    <a:blip r:embed="rId43"/>
                    <a:stretch>
                      <a:fillRect/>
                    </a:stretch>
                  </pic:blipFill>
                  <pic:spPr bwMode="auto">
                    <a:xfrm>
                      <a:off x="0" y="0"/>
                      <a:ext cx="3318662" cy="3284131"/>
                    </a:xfrm>
                    <a:prstGeom prst="rect">
                      <a:avLst/>
                    </a:prstGeom>
                    <a:noFill/>
                    <a:ln w="9525">
                      <a:noFill/>
                      <a:headEnd/>
                      <a:tailEnd/>
                    </a:ln>
                  </pic:spPr>
                </pic:pic>
              </a:graphicData>
            </a:graphic>
          </wp:inline>
        </w:drawing>
      </w:r>
    </w:p>
    <w:p>
      <w:pPr>
        <w:pStyle w:val="BodyText"/>
      </w:pPr>
      <w:r>
        <w:t xml:space="preserve">Usa la gráfica para responder las preguntas.</w:t>
      </w:r>
    </w:p>
    <w:p>
      <w:pPr>
        <w:numPr>
          <w:ilvl w:val="0"/>
          <w:numId w:val="1005"/>
        </w:numPr>
      </w:pPr>
      <w:r>
        <w:t xml:space="preserve">¿Cuántos estudiantes menos prefieren leer en la mañana que en la tarde? Muestra cómo pensaste. Usa expresiones o ecuaciones.</w:t>
      </w:r>
    </w:p>
    <w:p>
      <w:pPr>
        <w:numPr>
          <w:ilvl w:val="0"/>
          <w:numId w:val="1005"/>
        </w:numPr>
        <w:pStyle w:val="Compact"/>
      </w:pPr>
      <w:r>
        <w:t xml:space="preserve">¿Cuántos estudiantes más prefieren leer en la noche que en la mañana o en la hora de almuerzo? Muestra cómo pensaste. Usa expresiones o ecuaciones.</w:t>
      </w:r>
    </w:p>
    <w:bookmarkEnd w:id="46"/>
    <w:bookmarkStart w:id="47" w:name="student-responses"/>
    <w:p>
      <w:pPr>
        <w:pStyle w:val="Heading3"/>
      </w:pPr>
      <w:r>
        <w:t xml:space="preserve">Student Responses</w:t>
      </w:r>
    </w:p>
    <w:p>
      <w:pPr>
        <w:numPr>
          <w:ilvl w:val="0"/>
          <w:numId w:val="1006"/>
        </w:numPr>
        <w:pStyle w:val="Compact"/>
      </w:pPr>
      <w:r>
        <w:t xml:space="preserve">12. Sample responses:</w:t>
      </w:r>
      <w:r>
        <w:t xml:space="preserve"> </w:t>
      </w:r>
      <m:oMath>
        <m:r>
          <m:t>23</m:t>
        </m:r>
        <m:r>
          <m:rPr>
            <m:sty m:val="p"/>
          </m:rPr>
          <m:t>−</m:t>
        </m:r>
        <m:r>
          <m:t>11</m:t>
        </m:r>
        <m:r>
          <m:rPr>
            <m:sty m:val="p"/>
          </m:rPr>
          <m:t>=</m:t>
        </m:r>
        <m:r>
          <m:t>12</m:t>
        </m:r>
      </m:oMath>
    </w:p>
    <w:p>
      <w:pPr>
        <w:numPr>
          <w:ilvl w:val="0"/>
          <w:numId w:val="1006"/>
        </w:numPr>
        <w:pStyle w:val="Compact"/>
      </w:pPr>
      <w:r>
        <w:t xml:space="preserve">7. Sample responses:</w:t>
      </w:r>
    </w:p>
    <w:p>
      <w:pPr>
        <w:numPr>
          <w:ilvl w:val="1"/>
          <w:numId w:val="1007"/>
        </w:numPr>
        <w:pStyle w:val="Compact"/>
      </w:pPr>
      <m:oMath>
        <m:r>
          <m:t>44</m:t>
        </m:r>
        <m:r>
          <m:rPr>
            <m:sty m:val="p"/>
          </m:rPr>
          <m:t>−</m:t>
        </m:r>
        <m:d>
          <m:dPr>
            <m:begChr m:val="("/>
            <m:endChr m:val=")"/>
            <m:sepChr m:val=""/>
            <m:grow/>
          </m:dPr>
          <m:e>
            <m:r>
              <m:t>12</m:t>
            </m:r>
            <m:r>
              <m:rPr>
                <m:sty m:val="p"/>
              </m:rPr>
              <m:t>+</m:t>
            </m:r>
            <m:r>
              <m:t>25</m:t>
            </m:r>
          </m:e>
        </m:d>
      </m:oMath>
    </w:p>
    <w:p>
      <w:pPr>
        <w:numPr>
          <w:ilvl w:val="1"/>
          <w:numId w:val="1007"/>
        </w:numPr>
        <w:pStyle w:val="Compact"/>
      </w:pPr>
      <m:oMath>
        <m:r>
          <m:t>44</m:t>
        </m:r>
        <m:r>
          <m:rPr>
            <m:sty m:val="p"/>
          </m:rPr>
          <m:t>−</m:t>
        </m:r>
        <m:r>
          <m:t>10</m:t>
        </m:r>
        <m:r>
          <m:rPr>
            <m:sty m:val="p"/>
          </m:rPr>
          <m:t>−</m:t>
        </m:r>
        <m:r>
          <m:t>20</m:t>
        </m:r>
        <m:r>
          <m:rPr>
            <m:sty m:val="p"/>
          </m:rPr>
          <m:t>=</m:t>
        </m:r>
        <m:r>
          <m:t>14</m:t>
        </m:r>
      </m:oMath>
    </w:p>
    <w:p>
      <w:pPr>
        <w:numPr>
          <w:ilvl w:val="1"/>
          <w:numId w:val="1007"/>
        </w:numPr>
        <w:pStyle w:val="Compact"/>
      </w:pPr>
      <m:oMath>
        <m:r>
          <m:t>14</m:t>
        </m:r>
        <m:r>
          <m:rPr>
            <m:sty m:val="p"/>
          </m:rPr>
          <m:t>−</m:t>
        </m:r>
        <m:r>
          <m:t>2</m:t>
        </m:r>
        <m:r>
          <m:rPr>
            <m:sty m:val="p"/>
          </m:rPr>
          <m:t>−</m:t>
        </m:r>
        <m:r>
          <m:t>5</m:t>
        </m:r>
        <m:r>
          <m:rPr>
            <m:sty m:val="p"/>
          </m:rPr>
          <m:t>=</m:t>
        </m:r>
        <m:r>
          <m:t>7</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2022-12-14T23:54:22Z</dcterms:created>
  <dcterms:modified xsi:type="dcterms:W3CDTF">2022-12-14T23:54:22Z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uy3VPENKbkvyBxlvh5nZVm2jOSidQRDIX58jFbELSsqfKZBlL8KWFjfjunHW/fU+VEtAronLTdPaFcZlxQRJlw==</vt:lpwstr>
  </property>
</Properties>
</file>