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ten-times-as-many"/>
    <w:p>
      <w:pPr>
        <w:pStyle w:val="Heading2"/>
      </w:pPr>
      <w:r>
        <w:t xml:space="preserve">Lesson 6: Ten Times as Many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“10 times as many.”</w:t>
      </w:r>
    </w:p>
    <w:bookmarkStart w:id="24" w:name="ten-times-as-many"/>
    <w:p>
      <w:pPr>
        <w:pStyle w:val="Heading3"/>
      </w:pPr>
      <w:r>
        <w:t xml:space="preserve">6.1: Ten Times as Many</w:t>
      </w:r>
    </w:p>
    <w:p>
      <w:pPr>
        <w:pStyle w:val="FirstParagraph"/>
      </w:pPr>
      <w:r>
        <w:t xml:space="preserve">Here is a diagram that represents two quantities, A and B.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two rectangles. bottom rectangle, B. partitioned into 10 equal parts. Top rectangle, A. Same size as one of the 10 parts of the bottom rectangle." title="" id="22" name="Picture"/>
            <a:graphic>
              <a:graphicData uri="http://schemas.openxmlformats.org/drawingml/2006/picture">
                <pic:pic>
                  <pic:nvPicPr>
                    <pic:cNvPr descr="/app/tmp/embedder-1671023914.24274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are some possible values of A and B?</w:t>
      </w:r>
    </w:p>
    <w:p>
      <w:pPr>
        <w:numPr>
          <w:ilvl w:val="0"/>
          <w:numId w:val="1002"/>
        </w:numPr>
      </w:pPr>
      <w:r>
        <w:t xml:space="preserve">Select the equations that could be represented by the diagram.</w:t>
      </w:r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15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150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16</m:t>
        </m:r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600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30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80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800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12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</m:oMath>
    </w:p>
    <w:p>
      <w:pPr>
        <w:numPr>
          <w:ilvl w:val="0"/>
          <w:numId w:val="1002"/>
        </w:numPr>
      </w:pPr>
      <w:r>
        <w:t xml:space="preserve">For the equations that can't be represented by the diagram:</w:t>
      </w:r>
    </w:p>
    <w:p>
      <w:pPr>
        <w:numPr>
          <w:ilvl w:val="1"/>
          <w:numId w:val="1004"/>
        </w:numPr>
        <w:pStyle w:val="Compact"/>
      </w:pPr>
      <w:r>
        <w:t xml:space="preserve">Explain why the diagram does not represent these equations.</w:t>
      </w:r>
    </w:p>
    <w:p>
      <w:pPr>
        <w:numPr>
          <w:ilvl w:val="1"/>
          <w:numId w:val="1004"/>
        </w:numPr>
        <w:pStyle w:val="Compact"/>
      </w:pPr>
      <w:r>
        <w:t xml:space="preserve">How would you change the equations so the diagram could represent them?</w:t>
      </w:r>
    </w:p>
    <w:p>
      <w:pPr>
        <w:numPr>
          <w:ilvl w:val="1"/>
          <w:numId w:val="1004"/>
        </w:numPr>
        <w:pStyle w:val="Compact"/>
      </w:pPr>
      <w:r>
        <w:t xml:space="preserve">Compare your equations with your partner’s. Make at least two observations about the equations you and your partner wrote.</w:t>
      </w:r>
    </w:p>
    <w:bookmarkEnd w:id="24"/>
    <w:bookmarkStart w:id="28" w:name="what-remains-the-same"/>
    <w:p>
      <w:pPr>
        <w:pStyle w:val="Heading3"/>
      </w:pPr>
      <w:r>
        <w:t xml:space="preserve">6.2: What Remains the Same?</w:t>
      </w:r>
    </w:p>
    <w:p>
      <w:pPr>
        <w:numPr>
          <w:ilvl w:val="0"/>
          <w:numId w:val="1005"/>
        </w:numPr>
      </w:pPr>
      <w:r>
        <w:t xml:space="preserve">Use the diagram to complete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two rectangles. bottom rectangle, B. partitioned into 10 equal parts. Top rectangle, A. Same size as one of 10 parts of bottom rectangle." title="" id="26" name="Picture"/>
            <a:graphic>
              <a:graphicData uri="http://schemas.openxmlformats.org/drawingml/2006/picture">
                <pic:pic>
                  <pic:nvPicPr>
                    <pic:cNvPr descr="/app/tmp/embedder-1671023914.30235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value of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value of B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2,070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3,900</w:t>
            </w:r>
          </w:p>
        </w:tc>
      </w:tr>
    </w:tbl>
    <w:p>
      <w:pPr>
        <w:numPr>
          <w:ilvl w:val="0"/>
          <w:numId w:val="1005"/>
        </w:numPr>
      </w:pPr>
      <w:r>
        <w:t xml:space="preserve">Select some values from your table to explain or show:</w:t>
      </w:r>
    </w:p>
    <w:p>
      <w:pPr>
        <w:numPr>
          <w:ilvl w:val="1"/>
          <w:numId w:val="1006"/>
        </w:numPr>
      </w:pPr>
      <w:r>
        <w:t xml:space="preserve">How you found the value of B when the value of A is known.</w:t>
      </w:r>
    </w:p>
    <w:p>
      <w:pPr>
        <w:numPr>
          <w:ilvl w:val="1"/>
          <w:numId w:val="1006"/>
        </w:numPr>
        <w:pStyle w:val="Compact"/>
      </w:pPr>
      <w:r>
        <w:t xml:space="preserve">How you found the value of A when the value of B is known.</w:t>
      </w:r>
    </w:p>
    <w:bookmarkEnd w:id="28"/>
    <w:bookmarkStart w:id="4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to use multiplication and the phrase “_____ times as many” or “_____ times as much” for comparing two quantities.</w:t>
      </w:r>
    </w:p>
    <w:p>
      <w:pPr>
        <w:pStyle w:val="BodyText"/>
      </w:pPr>
      <w:r>
        <w:t xml:space="preserve">At first, we used cubes and drawings to represent the quantities. For example: Andre has 3 cubes and Han has 12. We compared the number of cubes by:</w:t>
      </w:r>
    </w:p>
    <w:p>
      <w:pPr>
        <w:numPr>
          <w:ilvl w:val="0"/>
          <w:numId w:val="1007"/>
        </w:numPr>
        <w:pStyle w:val="Compact"/>
      </w:pPr>
      <w:r>
        <w:t xml:space="preserve">saying “Han has 4 times as many cubes as Andre”</w:t>
      </w:r>
    </w:p>
    <w:p>
      <w:pPr>
        <w:numPr>
          <w:ilvl w:val="0"/>
          <w:numId w:val="1007"/>
        </w:numPr>
        <w:pStyle w:val="Compact"/>
      </w:pPr>
      <w:r>
        <w:t xml:space="preserve">drawing diagrams that shows 3 pieces for Andre and 4 times as many pieces for Han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Andre, blue, 3. Han, blue, 3. yellow, 3. red, 3. white, 3." title="" id="30" name="Picture"/>
            <a:graphic>
              <a:graphicData uri="http://schemas.openxmlformats.org/drawingml/2006/picture">
                <pic:pic>
                  <pic:nvPicPr>
                    <pic:cNvPr descr="/app/tmp/embedder-1671023914.36038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Andre, blue, 3. Han, blue, 3. yellow, 3. blue, 3. yellow, 3." title="" id="33" name="Picture"/>
            <a:graphic>
              <a:graphicData uri="http://schemas.openxmlformats.org/drawingml/2006/picture">
                <pic:pic>
                  <pic:nvPicPr>
                    <pic:cNvPr descr="/app/tmp/embedder-1671023914.499719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writing an equation such as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=</m:t>
        </m:r>
        <m:r>
          <m:t>12</m:t>
        </m:r>
      </m:oMath>
    </w:p>
    <w:p>
      <w:pPr>
        <w:pStyle w:val="FirstParagraph"/>
      </w:pPr>
      <w:r>
        <w:t xml:space="preserve">As the numbers got larger, drawing every unit of each quantity became less convenient, so we used simpler diagrams with numbers to represent the size of the quantities.</w:t>
      </w:r>
    </w:p>
    <w:p>
      <w:pPr>
        <w:pStyle w:val="BodyText"/>
      </w:pPr>
      <w:r>
        <w:t xml:space="preserve">If Andre has 30 cubes and Han has 4 times as many, we can represent the comparison with a diagram like this:</w:t>
      </w:r>
    </w:p>
    <w:p>
      <w:pPr>
        <w:pStyle w:val="BodyText"/>
      </w:pPr>
      <w:r>
        <w:drawing>
          <wp:inline>
            <wp:extent cx="3520440" cy="960122"/>
            <wp:effectExtent b="0" l="0" r="0" t="0"/>
            <wp:docPr descr="diagram. two rectangles." title="" id="36" name="Picture"/>
            <a:graphic>
              <a:graphicData uri="http://schemas.openxmlformats.org/drawingml/2006/picture">
                <pic:pic>
                  <pic:nvPicPr>
                    <pic:cNvPr descr="/app/tmp/embedder-1671023914.58260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ended by comparing quantities in which one quantity is ten times as much as another. We also recalled some patterns in the numbers when we multiplied a number by 10.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2022-12-14T13:18:35Z</dcterms:created>
  <dcterms:modified xsi:type="dcterms:W3CDTF">2022-12-14T13:18:35Z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d9DAQQQRZhGBc6vNqfTRf7bdY3nbDSW2upcV1+qyKVVT1IUYaJmeTESXCNP4kP0XjzUa/8+HeK0/HfCnnr0qCA==</vt:lpwstr>
  </property>
</Properties>
</file>