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día-1-de-centros"/>
    <w:p>
      <w:pPr>
        <w:pStyle w:val="Heading2"/>
      </w:pPr>
      <w:r>
        <w:t xml:space="preserve">Lección 5: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restemos.</w:t>
      </w:r>
    </w:p>
    <w:bookmarkStart w:id="33" w:name="calentamiento-cuál-es-diferente-decenas"/>
    <w:p>
      <w:pPr>
        <w:pStyle w:val="Heading3"/>
      </w:pPr>
      <w:r>
        <w:t xml:space="preserve">Calentamiento: Cuál es diferente: Decenas</w:t>
      </w:r>
    </w:p>
    <w:p>
      <w:pPr>
        <w:pStyle w:val="FirstParagraph"/>
      </w:pPr>
      <w:r>
        <w:t xml:space="preserve">¿Cuál es diferente? 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en plus ten plus ten." title="" id="22" name="Picture"/>
            <a:graphic>
              <a:graphicData uri="http://schemas.openxmlformats.org/drawingml/2006/picture">
                <pic:pic>
                  <pic:nvPicPr>
                    <pic:cNvPr descr="/app/tmp/embedder-1671058996.7967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3383279"/>
            <wp:effectExtent b="0" l="0" r="0" t="0"/>
            <wp:docPr descr="Connecting cubes. 3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8996.90338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2011692"/>
            <wp:effectExtent b="0" l="0" r="0" t="0"/>
            <wp:docPr descr="Base ten diagram. 3 tens.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58997.05400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e number 30." title="" id="31" name="Picture"/>
            <a:graphic>
              <a:graphicData uri="http://schemas.openxmlformats.org/drawingml/2006/picture">
                <pic:pic>
                  <pic:nvPicPr>
                    <pic:cNvPr descr="/app/tmp/embedder-1671058997.14590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centros-momento-de-escoger"/>
    <w:p>
      <w:pPr>
        <w:pStyle w:val="Heading3"/>
      </w:pPr>
      <w:r>
        <w:t xml:space="preserve">5.2: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8997.21746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8" name="Picture"/>
            <a:graphic>
              <a:graphicData uri="http://schemas.openxmlformats.org/drawingml/2006/picture">
                <pic:pic>
                  <pic:nvPicPr>
                    <pic:cNvPr descr="/app/tmp/embedder-1671058997.23966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1" name="Picture"/>
            <a:graphic>
              <a:graphicData uri="http://schemas.openxmlformats.org/drawingml/2006/picture">
                <pic:pic>
                  <pic:nvPicPr>
                    <pic:cNvPr descr="/app/tmp/embedder-1671058997.316042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2022-12-14T23:03:17Z</dcterms:created>
  <dcterms:modified xsi:type="dcterms:W3CDTF">2022-12-14T23:03:17Z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Utbrabb3MUkBGuVTKMtNgL3xRoPF/r2duaO0vd63m6h20q4w2n/JFMT+Rk15r2HohBk/BdF04IY8KVHNqriY9Q==</vt:lpwstr>
  </property>
</Properties>
</file>