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6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56ba222dfcc64535e0638e4e62a29cc542c3e3"/>
    <w:p>
      <w:pPr>
        <w:pStyle w:val="Heading2"/>
      </w:pPr>
      <w:r>
        <w:t xml:space="preserve">Lesson 1: Introducing Ratios and Ratio Language</w:t>
      </w:r>
    </w:p>
    <w:bookmarkEnd w:id="20"/>
    <w:p>
      <w:pPr>
        <w:pStyle w:val="FirstParagraph"/>
      </w:pPr>
      <w:r>
        <w:t xml:space="preserve">Let’s describe two quantities at the same time.</w:t>
      </w:r>
    </w:p>
    <w:bookmarkStart w:id="24" w:name="what-kind-and-how-many"/>
    <w:p>
      <w:pPr>
        <w:pStyle w:val="Heading3"/>
      </w:pPr>
      <w:r>
        <w:t xml:space="preserve">1.1: What Kind and How Many?</w:t>
      </w:r>
    </w:p>
    <w:p>
      <w:pPr>
        <w:pStyle w:val="FirstParagraph"/>
      </w:pPr>
      <w:r>
        <w:drawing>
          <wp:inline>
            <wp:extent cx="4605640" cy="3651483"/>
            <wp:effectExtent b="0" l="0" r="0" t="0"/>
            <wp:docPr descr="A collection of shapes that are each made up of squares. Each shape is one of four colors: white, blue, green, and yellow. Please ask for additional help." title="" id="22" name="Picture"/>
            <a:graphic>
              <a:graphicData uri="http://schemas.openxmlformats.org/drawingml/2006/picture">
                <pic:pic>
                  <pic:nvPicPr>
                    <pic:cNvPr descr="/app/tmp/embedder-1671032276.614688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640" cy="36514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Think of different ways you could sort these figures. What categories could you use? How many groups would you have?</w:t>
      </w:r>
    </w:p>
    <w:bookmarkEnd w:id="24"/>
    <w:bookmarkStart w:id="25" w:name="the-teachers-collection"/>
    <w:p>
      <w:pPr>
        <w:pStyle w:val="Heading3"/>
      </w:pPr>
      <w:r>
        <w:t xml:space="preserve">1.2: The Teacher’s Collection</w:t>
      </w:r>
    </w:p>
    <w:p>
      <w:pPr>
        <w:numPr>
          <w:ilvl w:val="0"/>
          <w:numId w:val="1001"/>
        </w:numPr>
      </w:pPr>
      <w:r>
        <w:t xml:space="preserve">Think of a way to sort your teacher’s collection into two or three categories. Count the items in each category, and record the information in the table.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category name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category amount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0"/>
        </w:numPr>
      </w:pPr>
      <w:r>
        <w:t xml:space="preserve">Pause here so your teacher can review your work.</w:t>
      </w:r>
    </w:p>
    <w:p>
      <w:pPr>
        <w:numPr>
          <w:ilvl w:val="0"/>
          <w:numId w:val="1001"/>
        </w:numPr>
      </w:pPr>
      <w:r>
        <w:t xml:space="preserve">Write at least two sentences that describe</w:t>
      </w:r>
      <w:r>
        <w:t xml:space="preserve"> </w:t>
      </w:r>
      <w:r>
        <w:rPr>
          <w:bCs/>
          <w:b/>
        </w:rPr>
        <w:t xml:space="preserve">ratios</w:t>
      </w:r>
      <w:r>
        <w:t xml:space="preserve"> in the collection. Remember, there are many ways to write a ratio:</w:t>
      </w:r>
    </w:p>
    <w:p>
      <w:pPr>
        <w:numPr>
          <w:ilvl w:val="1"/>
          <w:numId w:val="1002"/>
        </w:numPr>
      </w:pPr>
      <w:r>
        <w:t xml:space="preserve">The ratio of</w:t>
      </w:r>
      <w:r>
        <w:t xml:space="preserve"> </w:t>
      </w:r>
      <w:r>
        <w:rPr>
          <w:iCs/>
          <w:i/>
        </w:rPr>
        <w:t xml:space="preserve">one category</w:t>
      </w:r>
      <w:r>
        <w:t xml:space="preserve"> to</w:t>
      </w:r>
      <w:r>
        <w:t xml:space="preserve"> </w:t>
      </w:r>
      <w:r>
        <w:rPr>
          <w:iCs/>
          <w:i/>
        </w:rPr>
        <w:t xml:space="preserve">another category</w:t>
      </w:r>
      <w:r>
        <w:t xml:space="preserve"> is ________ to ________.</w:t>
      </w:r>
    </w:p>
    <w:p>
      <w:pPr>
        <w:numPr>
          <w:ilvl w:val="1"/>
          <w:numId w:val="1002"/>
        </w:numPr>
      </w:pPr>
      <w:r>
        <w:t xml:space="preserve">The ratio of</w:t>
      </w:r>
      <w:r>
        <w:t xml:space="preserve"> </w:t>
      </w:r>
      <w:r>
        <w:rPr>
          <w:iCs/>
          <w:i/>
        </w:rPr>
        <w:t xml:space="preserve">one category</w:t>
      </w:r>
      <w:r>
        <w:t xml:space="preserve"> to</w:t>
      </w:r>
      <w:r>
        <w:t xml:space="preserve"> </w:t>
      </w:r>
      <w:r>
        <w:rPr>
          <w:iCs/>
          <w:i/>
        </w:rPr>
        <w:t xml:space="preserve">another category</w:t>
      </w:r>
      <w:r>
        <w:t xml:space="preserve"> is ________ : ________.</w:t>
      </w:r>
    </w:p>
    <w:p>
      <w:pPr>
        <w:numPr>
          <w:ilvl w:val="1"/>
          <w:numId w:val="1002"/>
        </w:numPr>
      </w:pPr>
      <w:r>
        <w:t xml:space="preserve">There are _______ of</w:t>
      </w:r>
      <w:r>
        <w:t xml:space="preserve"> </w:t>
      </w:r>
      <w:r>
        <w:rPr>
          <w:iCs/>
          <w:i/>
        </w:rPr>
        <w:t xml:space="preserve">one category</w:t>
      </w:r>
      <w:r>
        <w:t xml:space="preserve"> for every _______ of</w:t>
      </w:r>
      <w:r>
        <w:t xml:space="preserve"> </w:t>
      </w:r>
      <w:r>
        <w:rPr>
          <w:iCs/>
          <w:i/>
        </w:rPr>
        <w:t xml:space="preserve">another category</w:t>
      </w:r>
      <w:r>
        <w:t xml:space="preserve">.</w:t>
      </w:r>
    </w:p>
    <w:bookmarkEnd w:id="25"/>
    <w:bookmarkStart w:id="30" w:name="the-students-collection"/>
    <w:p>
      <w:pPr>
        <w:pStyle w:val="Heading3"/>
      </w:pPr>
      <w:r>
        <w:t xml:space="preserve">1.3: The Student’s Collection</w:t>
      </w:r>
    </w:p>
    <w:p>
      <w:pPr>
        <w:numPr>
          <w:ilvl w:val="0"/>
          <w:numId w:val="1003"/>
        </w:numPr>
      </w:pPr>
      <w:r>
        <w:t xml:space="preserve">Sort your collection into three categories. You can experiment with different ways of arranging these categories. Then, count the items in each category, and record the information in the table.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category name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category amount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3"/>
        </w:numPr>
      </w:pPr>
      <w:r>
        <w:t xml:space="preserve">Write at least two sentences that describe</w:t>
      </w:r>
      <w:r>
        <w:t xml:space="preserve"> </w:t>
      </w:r>
      <w:r>
        <w:rPr>
          <w:bCs/>
          <w:b/>
        </w:rPr>
        <w:t xml:space="preserve">ratios</w:t>
      </w:r>
      <w:r>
        <w:t xml:space="preserve"> in the collection. Remember, there are many ways to write a ratio:</w:t>
      </w:r>
    </w:p>
    <w:p>
      <w:pPr>
        <w:numPr>
          <w:ilvl w:val="1"/>
          <w:numId w:val="1004"/>
        </w:numPr>
        <w:pStyle w:val="Compact"/>
      </w:pPr>
      <w:r>
        <w:t xml:space="preserve">The ratio of</w:t>
      </w:r>
      <w:r>
        <w:t xml:space="preserve"> </w:t>
      </w:r>
      <w:r>
        <w:rPr>
          <w:iCs/>
          <w:i/>
        </w:rPr>
        <w:t xml:space="preserve">one category</w:t>
      </w:r>
      <w:r>
        <w:t xml:space="preserve"> to</w:t>
      </w:r>
      <w:r>
        <w:t xml:space="preserve"> </w:t>
      </w:r>
      <w:r>
        <w:rPr>
          <w:iCs/>
          <w:i/>
        </w:rPr>
        <w:t xml:space="preserve">another category</w:t>
      </w:r>
      <w:r>
        <w:t xml:space="preserve"> is ________ to ________.</w:t>
      </w:r>
    </w:p>
    <w:p>
      <w:pPr>
        <w:numPr>
          <w:ilvl w:val="1"/>
          <w:numId w:val="1004"/>
        </w:numPr>
        <w:pStyle w:val="Compact"/>
      </w:pPr>
      <w:r>
        <w:t xml:space="preserve">The ratio of</w:t>
      </w:r>
      <w:r>
        <w:t xml:space="preserve"> </w:t>
      </w:r>
      <w:r>
        <w:rPr>
          <w:iCs/>
          <w:i/>
        </w:rPr>
        <w:t xml:space="preserve">one category</w:t>
      </w:r>
      <w:r>
        <w:t xml:space="preserve"> to</w:t>
      </w:r>
      <w:r>
        <w:t xml:space="preserve"> </w:t>
      </w:r>
      <w:r>
        <w:rPr>
          <w:iCs/>
          <w:i/>
        </w:rPr>
        <w:t xml:space="preserve">another category</w:t>
      </w:r>
      <w:r>
        <w:t xml:space="preserve"> is ________ : ________.</w:t>
      </w:r>
    </w:p>
    <w:p>
      <w:pPr>
        <w:numPr>
          <w:ilvl w:val="1"/>
          <w:numId w:val="1004"/>
        </w:numPr>
      </w:pPr>
      <w:r>
        <w:t xml:space="preserve">There are _______ of</w:t>
      </w:r>
      <w:r>
        <w:t xml:space="preserve"> </w:t>
      </w:r>
      <w:r>
        <w:rPr>
          <w:iCs/>
          <w:i/>
        </w:rPr>
        <w:t xml:space="preserve">one category</w:t>
      </w:r>
      <w:r>
        <w:t xml:space="preserve"> for every _______ of</w:t>
      </w:r>
      <w:r>
        <w:t xml:space="preserve"> </w:t>
      </w:r>
      <w:r>
        <w:rPr>
          <w:iCs/>
          <w:i/>
        </w:rPr>
        <w:t xml:space="preserve">another category</w:t>
      </w:r>
      <w:r>
        <w:t xml:space="preserve">.</w:t>
      </w:r>
    </w:p>
    <w:p>
      <w:pPr>
        <w:numPr>
          <w:ilvl w:val="0"/>
          <w:numId w:val="1000"/>
        </w:numPr>
      </w:pPr>
      <w:r>
        <w:t xml:space="preserve">Pause here so your teacher can review your sentences.</w:t>
      </w:r>
    </w:p>
    <w:p>
      <w:pPr>
        <w:numPr>
          <w:ilvl w:val="0"/>
          <w:numId w:val="1003"/>
        </w:numPr>
        <w:pStyle w:val="Compact"/>
      </w:pPr>
      <w:r>
        <w:t xml:space="preserve">Make a visual display of your items that clearly shows one of your statements. Be prepared to share your display with the class.</w:t>
      </w:r>
    </w:p>
    <w:bookmarkStart w:id="29" w:name="are-you-ready-for-more"/>
    <w:p>
      <w:pPr>
        <w:pStyle w:val="Heading4"/>
      </w:pPr>
      <w:r>
        <w:t xml:space="preserve">Are you ready for more?</w:t>
      </w:r>
    </w:p>
    <w:p>
      <w:pPr>
        <w:numPr>
          <w:ilvl w:val="0"/>
          <w:numId w:val="1005"/>
        </w:numPr>
        <w:pStyle w:val="Compact"/>
      </w:pPr>
      <w:r>
        <w:t xml:space="preserve">Use two colors to shade the rectangle so there are 2 square units of one color for every 1 square unit of the other color.</w:t>
      </w:r>
    </w:p>
    <w:p>
      <w:pPr>
        <w:numPr>
          <w:ilvl w:val="0"/>
          <w:numId w:val="1005"/>
        </w:numPr>
      </w:pPr>
      <w:r>
        <w:t xml:space="preserve">The rectangle you just colored has an area of 24 square units. Draw a different shape that does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have an area of 24 square units, but that can also be shaded with two colors in a</w:t>
      </w:r>
      <w:r>
        <w:t xml:space="preserve"> </w:t>
      </w:r>
      <m:oMath>
        <m:r>
          <m:t>2</m:t>
        </m:r>
        <m:r>
          <m:rPr>
            <m:sty m:val="p"/>
          </m:rPr>
          <m:t>:</m:t>
        </m:r>
        <m:r>
          <m:t>1</m:t>
        </m:r>
      </m:oMath>
      <w:r>
        <w:t xml:space="preserve"> </w:t>
      </w:r>
      <w:r>
        <w:t xml:space="preserve">ratio. Shade your new shape using two colors.</w:t>
      </w:r>
    </w:p>
    <w:p>
      <w:pPr>
        <w:pStyle w:val="FirstParagraph"/>
      </w:pPr>
      <w:r>
        <w:drawing>
          <wp:inline>
            <wp:extent cx="1385361" cy="926632"/>
            <wp:effectExtent b="0" l="0" r="0" t="0"/>
            <wp:docPr descr="A 4 by 6 grid of squares." title="" id="27" name="Picture"/>
            <a:graphic>
              <a:graphicData uri="http://schemas.openxmlformats.org/drawingml/2006/picture">
                <pic:pic>
                  <pic:nvPicPr>
                    <pic:cNvPr descr="/app/tmp/embedder-1671032276.671201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361" cy="9266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End w:id="30"/>
    <w:bookmarkStart w:id="40" w:name="lesson-1-summary"/>
    <w:p>
      <w:pPr>
        <w:pStyle w:val="Heading3"/>
      </w:pPr>
      <w:r>
        <w:t xml:space="preserve">Lesson 1 Summary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Cs/>
          <w:b/>
        </w:rPr>
        <w:t xml:space="preserve">ratio</w:t>
      </w:r>
      <w:r>
        <w:t xml:space="preserve"> </w:t>
      </w:r>
      <w:r>
        <w:t xml:space="preserve">is an association between two or more quantities. There are many ways to describe a situation in terms of ratios. For example, look at this collection:</w:t>
      </w:r>
    </w:p>
    <w:p>
      <w:pPr>
        <w:pStyle w:val="BodyText"/>
      </w:pPr>
      <w:r>
        <w:drawing>
          <wp:inline>
            <wp:extent cx="2767665" cy="712559"/>
            <wp:effectExtent b="0" l="0" r="0" t="0"/>
            <wp:docPr descr="A discrete diagram of squares and circles such that the top row contains 6 squares and the bottom row contains 3 circles." title="" id="32" name="Picture"/>
            <a:graphic>
              <a:graphicData uri="http://schemas.openxmlformats.org/drawingml/2006/picture">
                <pic:pic>
                  <pic:nvPicPr>
                    <pic:cNvPr descr="/app/tmp/embedder-1671032276.704694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665" cy="7125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 are some correct ways to describe the collection:</w:t>
      </w:r>
    </w:p>
    <w:p>
      <w:pPr>
        <w:numPr>
          <w:ilvl w:val="0"/>
          <w:numId w:val="1006"/>
        </w:numPr>
        <w:pStyle w:val="Compact"/>
      </w:pPr>
      <w:r>
        <w:t xml:space="preserve">The ratio of squares to circles is</w:t>
      </w:r>
      <w:r>
        <w:t xml:space="preserve"> </w:t>
      </w:r>
      <m:oMath>
        <m:r>
          <m:t>6</m:t>
        </m:r>
        <m:r>
          <m:rPr>
            <m:sty m:val="p"/>
          </m:rPr>
          <m:t>:</m:t>
        </m:r>
        <m:r>
          <m:t>3</m:t>
        </m:r>
      </m:oMath>
      <w:r>
        <w:t xml:space="preserve">.</w:t>
      </w:r>
    </w:p>
    <w:p>
      <w:pPr>
        <w:numPr>
          <w:ilvl w:val="0"/>
          <w:numId w:val="1006"/>
        </w:numPr>
        <w:pStyle w:val="Compact"/>
      </w:pPr>
      <w:r>
        <w:t xml:space="preserve">The ratio of circles to squares is 3 to 6.</w:t>
      </w:r>
    </w:p>
    <w:p>
      <w:pPr>
        <w:pStyle w:val="FirstParagraph"/>
      </w:pPr>
      <w:r>
        <w:t xml:space="preserve">Notice that the shapes can be arranged in equal groups, which allow us to describe the shapes using other numbers.</w:t>
      </w:r>
    </w:p>
    <w:p>
      <w:pPr>
        <w:pStyle w:val="BodyText"/>
      </w:pPr>
      <w:r>
        <w:drawing>
          <wp:inline>
            <wp:extent cx="2761549" cy="709501"/>
            <wp:effectExtent b="0" l="0" r="0" t="0"/>
            <wp:docPr descr="A discrete diagram of 6 squares and 3 circles organized into 3 equal groups of 2 squares and 1 circle each." title="" id="35" name="Picture"/>
            <a:graphic>
              <a:graphicData uri="http://schemas.openxmlformats.org/drawingml/2006/picture">
                <pic:pic>
                  <pic:nvPicPr>
                    <pic:cNvPr descr="/app/tmp/embedder-1671032276.752308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549" cy="7095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  <w:pStyle w:val="Compact"/>
      </w:pPr>
      <w:r>
        <w:t xml:space="preserve">There are 2 squares for every 1 circle.</w:t>
      </w:r>
    </w:p>
    <w:p>
      <w:pPr>
        <w:numPr>
          <w:ilvl w:val="0"/>
          <w:numId w:val="1007"/>
        </w:numPr>
        <w:pStyle w:val="Compact"/>
      </w:pPr>
      <w:r>
        <w:t xml:space="preserve">There is 1 circle for every 2 squares.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2022-12-14T15:37:57Z</dcterms:created>
  <dcterms:modified xsi:type="dcterms:W3CDTF">2022-12-14T15:37:57Z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iMPxKkU1rQFF/b1EpiCre04BJ1x/0yFQ2xqqcwQ16smsx7RzKb1VXIAZHlr3RIcTd+le2mtZfEtekE8DcDrplA==</vt:lpwstr>
  </property>
</Properties>
</file>