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9</w:t>
      </w:r>
      <w:r>
        <w:t xml:space="preserve">CC BY NC 2024 Illustrative Mathematics®</w:t>
      </w:r>
    </w:p>
    <w:p>
      <w:pPr>
        <w:pStyle w:val="BodyText"/>
      </w:pPr>
      <w:r>
        <w:t xml:space="preserve">Unit 1, Lesson 9</w:t>
      </w:r>
    </w:p>
    <w:bookmarkStart w:id="25" w:name="lesson-482362"/>
    <w:p>
      <w:pPr>
        <w:pStyle w:val="Heading1"/>
      </w:pPr>
      <w:r>
        <w:t xml:space="preserve">Technological Graphing</w:t>
      </w:r>
    </w:p>
    <w:p>
      <w:pPr>
        <w:numPr>
          <w:ilvl w:val="0"/>
          <w:numId w:val="1001"/>
        </w:numPr>
        <w:pStyle w:val="Compact"/>
      </w:pPr>
      <w:r>
        <w:t xml:space="preserve">Let’s use technology to represent data.</w:t>
      </w:r>
    </w:p>
    <w:p>
      <w:pPr>
        <w:pStyle w:val="FirstParagraph"/>
      </w:pPr>
      <w:r>
        <w:t xml:space="preserve"> </w:t>
      </w:r>
      <w:r>
        <w:t xml:space="preserve">Algebra 1</w:t>
      </w:r>
      <w:r>
        <w:br/>
      </w:r>
      <w:r>
        <w:t xml:space="preserve">Unit 1</w:t>
      </w:r>
      <w:r>
        <w:t xml:space="preserve">Lesson 9</w:t>
      </w:r>
      <w:r>
        <w:t xml:space="preserve">CC BY NC 2024 Illustrative Mathematics®</w:t>
      </w:r>
    </w:p>
    <w:bookmarkStart w:id="20" w:name="activity-482374"/>
    <w:p>
      <w:pPr>
        <w:pStyle w:val="Heading2"/>
      </w:pPr>
      <w:r>
        <w:t xml:space="preserve">9.1</w:t>
      </w:r>
      <w:r>
        <w:t xml:space="preserve">It Begins with Data</w:t>
      </w:r>
    </w:p>
    <w:p>
      <w:pPr>
        <w:pStyle w:val="FirstParagraph"/>
      </w:pPr>
      <w:r>
        <w:t xml:space="preserve">Open a spreadsheet window and enter the data so that each value is in its own cell in column A.</w:t>
      </w:r>
    </w:p>
    <w:p>
      <w:pPr>
        <w:numPr>
          <w:ilvl w:val="0"/>
          <w:numId w:val="1002"/>
        </w:numPr>
        <w:pStyle w:val="Compact"/>
      </w:pPr>
      <w:r>
        <w:t xml:space="preserve">How many values are in the spreadsheet? Explain your reasoning.</w:t>
      </w:r>
    </w:p>
    <w:p>
      <w:pPr>
        <w:numPr>
          <w:ilvl w:val="0"/>
          <w:numId w:val="1002"/>
        </w:numPr>
        <w:pStyle w:val="Compact"/>
      </w:pPr>
      <w:r>
        <w:t xml:space="preserve">If you entered the data in the order that the values are listed, the number 7 is in the cell at position A1 and the number 5 is in cell A5. List all of the cells that contain the number 13.</w:t>
      </w:r>
    </w:p>
    <w:p>
      <w:pPr>
        <w:numPr>
          <w:ilvl w:val="0"/>
          <w:numId w:val="1002"/>
        </w:numPr>
        <w:pStyle w:val="Compact"/>
      </w:pPr>
      <w:r>
        <w:t xml:space="preserve">In cell C1 type the word “Sum,” in C2 type “Mean,” and in C3 type “Median.” You may wish to double-click or drag the vertical line between columns C and D to allow the entire words to be seen.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pPr>
          </w:p>
        </w:tc>
        <w:tc>
          <w:tcPr/>
          <w:p>
            <w:pPr>
              <w:pStyle w:val="Compact"/>
              <w:jc w:val="left"/>
            </w:pPr>
            <w:r>
              <w:t xml:space="preserve">A</w:t>
            </w:r>
          </w:p>
        </w:tc>
      </w:tr>
      <w:tr>
        <w:trPr>
          <w:tblHeader w:val="true"/>
        </w:trPr>
        <w:tc>
          <w:tcPr/>
          <w:p>
            <w:pPr>
              <w:pStyle w:val="Compact"/>
              <w:jc w:val="left"/>
            </w:pPr>
            <w:r>
              <w:t xml:space="preserve">1</w:t>
            </w:r>
          </w:p>
        </w:tc>
        <w:tc>
          <w:tcPr/>
          <w:p>
            <w:pPr>
              <w:pStyle w:val="Compact"/>
              <w:jc w:val="left"/>
            </w:pPr>
            <w:r>
              <w:t xml:space="preserve">7</w:t>
            </w:r>
          </w:p>
        </w:tc>
      </w:tr>
      <w:tr>
        <w:trPr>
          <w:tblHeader w:val="true"/>
        </w:trPr>
        <w:tc>
          <w:tcPr/>
          <w:p>
            <w:pPr>
              <w:pStyle w:val="Compact"/>
              <w:jc w:val="left"/>
            </w:pPr>
            <w:r>
              <w:t xml:space="preserve">2</w:t>
            </w:r>
          </w:p>
        </w:tc>
        <w:tc>
          <w:tcPr/>
          <w:p>
            <w:pPr>
              <w:pStyle w:val="Compact"/>
              <w:jc w:val="left"/>
            </w:pPr>
            <w:r>
              <w:t xml:space="preserve">8</w:t>
            </w:r>
          </w:p>
        </w:tc>
      </w:tr>
      <w:tr>
        <w:trPr>
          <w:tblHeader w:val="true"/>
        </w:trPr>
        <w:tc>
          <w:tcPr/>
          <w:p>
            <w:pPr>
              <w:pStyle w:val="Compact"/>
              <w:jc w:val="left"/>
            </w:pPr>
            <w:r>
              <w:t xml:space="preserve">3</w:t>
            </w:r>
          </w:p>
        </w:tc>
        <w:tc>
          <w:tcPr/>
          <w:p>
            <w:pPr>
              <w:pStyle w:val="Compact"/>
              <w:jc w:val="left"/>
            </w:pPr>
            <w:r>
              <w:t xml:space="preserve">4</w:t>
            </w:r>
          </w:p>
        </w:tc>
      </w:tr>
      <w:tr>
        <w:trPr>
          <w:tblHeader w:val="true"/>
        </w:trPr>
        <w:tc>
          <w:tcPr/>
          <w:p>
            <w:pPr>
              <w:pStyle w:val="Compact"/>
              <w:jc w:val="left"/>
            </w:pPr>
            <w:r>
              <w:t xml:space="preserve">4</w:t>
            </w:r>
          </w:p>
        </w:tc>
        <w:tc>
          <w:tcPr/>
          <w:p>
            <w:pPr>
              <w:pStyle w:val="Compact"/>
              <w:jc w:val="left"/>
            </w:pPr>
            <w:r>
              <w:t xml:space="preserve">13</w:t>
            </w:r>
          </w:p>
        </w:tc>
      </w:tr>
      <w:tr>
        <w:trPr>
          <w:tblHeader w:val="true"/>
        </w:trPr>
        <w:tc>
          <w:tcPr/>
          <w:p>
            <w:pPr>
              <w:pStyle w:val="Compact"/>
              <w:jc w:val="left"/>
            </w:pPr>
            <w:r>
              <w:t xml:space="preserve">5</w:t>
            </w:r>
          </w:p>
        </w:tc>
        <w:tc>
          <w:tcPr/>
          <w:p>
            <w:pPr>
              <w:pStyle w:val="Compact"/>
              <w:jc w:val="left"/>
            </w:pPr>
            <w:r>
              <w:t xml:space="preserve">5</w:t>
            </w:r>
          </w:p>
        </w:tc>
      </w:tr>
      <w:tr>
        <w:trPr>
          <w:tblHeader w:val="true"/>
        </w:trPr>
        <w:tc>
          <w:tcPr/>
          <w:p>
            <w:pPr>
              <w:pStyle w:val="Compact"/>
              <w:jc w:val="left"/>
            </w:pPr>
            <w:r>
              <w:t xml:space="preserve">6</w:t>
            </w:r>
          </w:p>
        </w:tc>
        <w:tc>
          <w:tcPr/>
          <w:p>
            <w:pPr>
              <w:pStyle w:val="Compact"/>
              <w:jc w:val="left"/>
            </w:pPr>
            <w:r>
              <w:t xml:space="preserve">15</w:t>
            </w:r>
          </w:p>
        </w:tc>
      </w:tr>
      <w:tr>
        <w:trPr>
          <w:tblHeader w:val="true"/>
        </w:trPr>
        <w:tc>
          <w:tcPr/>
          <w:p>
            <w:pPr>
              <w:pStyle w:val="Compact"/>
              <w:jc w:val="left"/>
            </w:pPr>
            <w:r>
              <w:t xml:space="preserve">7</w:t>
            </w:r>
          </w:p>
        </w:tc>
        <w:tc>
          <w:tcPr/>
          <w:p>
            <w:pPr>
              <w:pStyle w:val="Compact"/>
              <w:jc w:val="left"/>
            </w:pPr>
            <w:r>
              <w:t xml:space="preserve">14</w:t>
            </w:r>
          </w:p>
        </w:tc>
      </w:tr>
      <w:tr>
        <w:trPr>
          <w:tblHeader w:val="true"/>
        </w:trPr>
        <w:tc>
          <w:tcPr/>
          <w:p>
            <w:pPr>
              <w:pStyle w:val="Compact"/>
              <w:jc w:val="left"/>
            </w:pPr>
            <w:r>
              <w:t xml:space="preserve">8</w:t>
            </w:r>
          </w:p>
        </w:tc>
        <w:tc>
          <w:tcPr/>
          <w:p>
            <w:pPr>
              <w:pStyle w:val="Compact"/>
              <w:jc w:val="left"/>
            </w:pPr>
            <w:r>
              <w:t xml:space="preserve">8</w:t>
            </w:r>
          </w:p>
        </w:tc>
      </w:tr>
      <w:tr>
        <w:trPr>
          <w:tblHeader w:val="true"/>
        </w:trPr>
        <w:tc>
          <w:tcPr/>
          <w:p>
            <w:pPr>
              <w:pStyle w:val="Compact"/>
              <w:jc w:val="left"/>
            </w:pPr>
            <w:r>
              <w:t xml:space="preserve">9</w:t>
            </w:r>
          </w:p>
        </w:tc>
        <w:tc>
          <w:tcPr/>
          <w:p>
            <w:pPr>
              <w:pStyle w:val="Compact"/>
              <w:jc w:val="left"/>
            </w:pPr>
            <w:r>
              <w:t xml:space="preserve">12</w:t>
            </w:r>
          </w:p>
        </w:tc>
      </w:tr>
      <w:tr>
        <w:trPr>
          <w:tblHeader w:val="true"/>
        </w:trPr>
        <w:tc>
          <w:tcPr/>
          <w:p>
            <w:pPr>
              <w:pStyle w:val="Compact"/>
              <w:jc w:val="left"/>
            </w:pPr>
            <w:r>
              <w:t xml:space="preserve">10</w:t>
            </w:r>
          </w:p>
        </w:tc>
        <w:tc>
          <w:tcPr/>
          <w:p>
            <w:pPr>
              <w:pStyle w:val="Compact"/>
              <w:jc w:val="left"/>
            </w:pPr>
            <w:r>
              <w:t xml:space="preserve">2</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pPr>
          </w:p>
        </w:tc>
        <w:tc>
          <w:tcPr/>
          <w:p>
            <w:pPr>
              <w:pStyle w:val="Compact"/>
              <w:jc w:val="left"/>
            </w:pPr>
            <w:r>
              <w:t xml:space="preserve">A</w:t>
            </w:r>
          </w:p>
        </w:tc>
      </w:tr>
      <w:tr>
        <w:trPr>
          <w:tblHeader w:val="true"/>
        </w:trPr>
        <w:tc>
          <w:tcPr/>
          <w:p>
            <w:pPr>
              <w:pStyle w:val="Compact"/>
              <w:jc w:val="left"/>
            </w:pPr>
            <w:r>
              <w:t xml:space="preserve">11</w:t>
            </w:r>
          </w:p>
        </w:tc>
        <w:tc>
          <w:tcPr/>
          <w:p>
            <w:pPr>
              <w:pStyle w:val="Compact"/>
              <w:jc w:val="left"/>
            </w:pPr>
            <w:r>
              <w:t xml:space="preserve">8</w:t>
            </w:r>
          </w:p>
        </w:tc>
      </w:tr>
      <w:tr>
        <w:trPr>
          <w:tblHeader w:val="true"/>
        </w:trPr>
        <w:tc>
          <w:tcPr/>
          <w:p>
            <w:pPr>
              <w:pStyle w:val="Compact"/>
              <w:jc w:val="left"/>
            </w:pPr>
            <w:r>
              <w:t xml:space="preserve">12</w:t>
            </w:r>
          </w:p>
        </w:tc>
        <w:tc>
          <w:tcPr/>
          <w:p>
            <w:pPr>
              <w:pStyle w:val="Compact"/>
              <w:jc w:val="left"/>
            </w:pPr>
            <w:r>
              <w:t xml:space="preserve">13</w:t>
            </w:r>
          </w:p>
        </w:tc>
      </w:tr>
      <w:tr>
        <w:trPr>
          <w:tblHeader w:val="true"/>
        </w:trPr>
        <w:tc>
          <w:tcPr/>
          <w:p>
            <w:pPr>
              <w:pStyle w:val="Compact"/>
              <w:jc w:val="left"/>
            </w:pPr>
            <w:r>
              <w:t xml:space="preserve">13</w:t>
            </w:r>
          </w:p>
        </w:tc>
        <w:tc>
          <w:tcPr/>
          <w:p>
            <w:pPr>
              <w:pStyle w:val="Compact"/>
              <w:jc w:val="left"/>
            </w:pPr>
            <w:r>
              <w:t xml:space="preserve">12</w:t>
            </w:r>
          </w:p>
        </w:tc>
      </w:tr>
      <w:tr>
        <w:trPr>
          <w:tblHeader w:val="true"/>
        </w:trPr>
        <w:tc>
          <w:tcPr/>
          <w:p>
            <w:pPr>
              <w:pStyle w:val="Compact"/>
              <w:jc w:val="left"/>
            </w:pPr>
            <w:r>
              <w:t xml:space="preserve">14</w:t>
            </w:r>
          </w:p>
        </w:tc>
        <w:tc>
          <w:tcPr/>
          <w:p>
            <w:pPr>
              <w:pStyle w:val="Compact"/>
              <w:jc w:val="left"/>
            </w:pPr>
            <w:r>
              <w:t xml:space="preserve">13</w:t>
            </w:r>
          </w:p>
        </w:tc>
      </w:tr>
      <w:tr>
        <w:trPr>
          <w:tblHeader w:val="true"/>
        </w:trPr>
        <w:tc>
          <w:tcPr/>
          <w:p>
            <w:pPr>
              <w:pStyle w:val="Compact"/>
              <w:jc w:val="left"/>
            </w:pPr>
            <w:r>
              <w:t xml:space="preserve">15</w:t>
            </w:r>
          </w:p>
        </w:tc>
        <w:tc>
          <w:tcPr/>
          <w:p>
            <w:pPr>
              <w:pStyle w:val="Compact"/>
              <w:jc w:val="left"/>
            </w:pPr>
            <w:r>
              <w:t xml:space="preserve">6</w:t>
            </w:r>
          </w:p>
        </w:tc>
      </w:tr>
      <w:tr>
        <w:trPr>
          <w:tblHeader w:val="true"/>
        </w:trPr>
        <w:tc>
          <w:tcPr/>
          <w:p>
            <w:pPr>
              <w:pStyle w:val="Compact"/>
              <w:jc w:val="left"/>
            </w:pPr>
            <w:r>
              <w:t xml:space="preserve">16</w:t>
            </w:r>
          </w:p>
        </w:tc>
        <w:tc>
          <w:tcPr/>
          <w:p>
            <w:pPr>
              <w:pStyle w:val="Compact"/>
              <w:jc w:val="left"/>
            </w:pPr>
            <w:r>
              <w:t xml:space="preserve">1</w:t>
            </w:r>
          </w:p>
        </w:tc>
      </w:tr>
      <w:tr>
        <w:trPr>
          <w:tblHeader w:val="true"/>
        </w:trPr>
        <w:tc>
          <w:tcPr/>
          <w:p>
            <w:pPr>
              <w:pStyle w:val="Compact"/>
              <w:jc w:val="left"/>
            </w:pPr>
            <w:r>
              <w:t xml:space="preserve">17</w:t>
            </w:r>
          </w:p>
        </w:tc>
        <w:tc>
          <w:tcPr/>
          <w:p>
            <w:pPr>
              <w:pStyle w:val="Compact"/>
              <w:jc w:val="left"/>
            </w:pPr>
            <w:r>
              <w:t xml:space="preserve">9</w:t>
            </w:r>
          </w:p>
        </w:tc>
      </w:tr>
      <w:tr>
        <w:trPr>
          <w:tblHeader w:val="true"/>
        </w:trPr>
        <w:tc>
          <w:tcPr/>
          <w:p>
            <w:pPr>
              <w:pStyle w:val="Compact"/>
              <w:jc w:val="left"/>
            </w:pPr>
            <w:r>
              <w:t xml:space="preserve">18</w:t>
            </w:r>
          </w:p>
        </w:tc>
        <w:tc>
          <w:tcPr/>
          <w:p>
            <w:pPr>
              <w:pStyle w:val="Compact"/>
              <w:jc w:val="left"/>
            </w:pPr>
            <w:r>
              <w:t xml:space="preserve">4</w:t>
            </w:r>
          </w:p>
        </w:tc>
      </w:tr>
      <w:tr>
        <w:trPr>
          <w:tblHeader w:val="true"/>
        </w:trPr>
        <w:tc>
          <w:tcPr/>
          <w:p>
            <w:pPr>
              <w:pStyle w:val="Compact"/>
              <w:jc w:val="left"/>
            </w:pPr>
            <w:r>
              <w:t xml:space="preserve">19</w:t>
            </w:r>
          </w:p>
        </w:tc>
        <w:tc>
          <w:tcPr/>
          <w:p>
            <w:pPr>
              <w:pStyle w:val="Compact"/>
              <w:jc w:val="left"/>
            </w:pPr>
            <w:r>
              <w:t xml:space="preserve">9</w:t>
            </w:r>
          </w:p>
        </w:tc>
      </w:tr>
      <w:tr>
        <w:trPr>
          <w:tblHeader w:val="true"/>
        </w:trPr>
        <w:tc>
          <w:tcPr/>
          <w:p>
            <w:pPr>
              <w:pStyle w:val="Compact"/>
              <w:jc w:val="left"/>
            </w:pPr>
            <w:r>
              <w:t xml:space="preserve">20</w:t>
            </w:r>
          </w:p>
        </w:tc>
        <w:tc>
          <w:tcPr/>
          <w:p>
            <w:pPr>
              <w:pStyle w:val="Compact"/>
              <w:jc w:val="left"/>
            </w:pPr>
            <w:r>
              <w:t xml:space="preserve">15</w:t>
            </w:r>
          </w:p>
        </w:tc>
      </w:tr>
    </w:tbl>
    <w:bookmarkEnd w:id="20"/>
    <w:p>
      <w:pPr>
        <w:pStyle w:val="BodyText"/>
      </w:pPr>
      <w:r>
        <w:t xml:space="preserve"> </w:t>
      </w:r>
      <w:r>
        <w:t xml:space="preserve">Algebra 1</w:t>
      </w:r>
      <w:r>
        <w:br/>
      </w:r>
      <w:r>
        <w:t xml:space="preserve">Unit 1</w:t>
      </w:r>
      <w:r>
        <w:t xml:space="preserve">Lesson 9</w:t>
      </w:r>
      <w:r>
        <w:t xml:space="preserve">CC BY NC 2024 Illustrative Mathematics®</w:t>
      </w:r>
    </w:p>
    <w:bookmarkStart w:id="21" w:name="activity-482375"/>
    <w:p>
      <w:pPr>
        <w:pStyle w:val="Heading2"/>
      </w:pPr>
      <w:r>
        <w:t xml:space="preserve">9.2</w:t>
      </w:r>
      <w:r>
        <w:t xml:space="preserve">Finding Spreadsheet Statistics</w:t>
      </w:r>
    </w:p>
    <w:p>
      <w:pPr>
        <w:pStyle w:val="FirstParagraph"/>
      </w:pPr>
      <w:r>
        <w:t xml:space="preserve">Using the data from the</w:t>
      </w:r>
      <w:r>
        <w:t xml:space="preserve"> </w:t>
      </w:r>
      <w:r>
        <w:rPr>
          <w:iCs/>
          <w:i/>
        </w:rPr>
        <w:t xml:space="preserve">Warm-up</w:t>
      </w:r>
      <w:r>
        <w:t xml:space="preserve">, we can calculate a few</w:t>
      </w:r>
      <w:r>
        <w:t xml:space="preserve"> </w:t>
      </w:r>
      <w:r>
        <w:rPr>
          <w:bCs/>
          <w:b/>
        </w:rPr>
        <w:t xml:space="preserve">statistics</w:t>
      </w:r>
      <w:r>
        <w:t xml:space="preserve"> </w:t>
      </w:r>
      <w:r>
        <w:t xml:space="preserve">and look at the data.</w:t>
      </w:r>
    </w:p>
    <w:p>
      <w:pPr>
        <w:numPr>
          <w:ilvl w:val="0"/>
          <w:numId w:val="1003"/>
        </w:numPr>
        <w:pStyle w:val="Compact"/>
      </w:pPr>
      <w:r>
        <w:t xml:space="preserve">Next to the word Sum, in cell D1, type =Sum(A1:A20)</w:t>
      </w:r>
    </w:p>
    <w:p>
      <w:pPr>
        <w:numPr>
          <w:ilvl w:val="0"/>
          <w:numId w:val="1003"/>
        </w:numPr>
        <w:pStyle w:val="Compact"/>
      </w:pPr>
      <w:r>
        <w:t xml:space="preserve">Next to the word Mean, in cell D2, type =Mean(A1:A20)</w:t>
      </w:r>
    </w:p>
    <w:p>
      <w:pPr>
        <w:numPr>
          <w:ilvl w:val="0"/>
          <w:numId w:val="1003"/>
        </w:numPr>
        <w:pStyle w:val="Compact"/>
      </w:pPr>
      <w:r>
        <w:t xml:space="preserve">Next to the word Median, in cell D3, type =Median(A1:A20)</w:t>
      </w:r>
    </w:p>
    <w:p>
      <w:pPr>
        <w:numPr>
          <w:ilvl w:val="0"/>
          <w:numId w:val="1004"/>
        </w:numPr>
        <w:pStyle w:val="Compact"/>
      </w:pPr>
      <w:r>
        <w:t xml:space="preserve">What are the values for each of the statistics?</w:t>
      </w:r>
    </w:p>
    <w:p>
      <w:pPr>
        <w:numPr>
          <w:ilvl w:val="0"/>
          <w:numId w:val="1004"/>
        </w:numPr>
        <w:pStyle w:val="Compact"/>
      </w:pPr>
      <w:r>
        <w:t xml:space="preserve">Change the value in A1 to 8. How does that change the statistics?</w:t>
      </w:r>
    </w:p>
    <w:p>
      <w:pPr>
        <w:numPr>
          <w:ilvl w:val="0"/>
          <w:numId w:val="1004"/>
        </w:numPr>
        <w:pStyle w:val="Compact"/>
      </w:pPr>
      <w:r>
        <w:t xml:space="preserve">What value can be put into A1 to change the mean to 10.05 and the median to 9?</w:t>
      </w:r>
    </w:p>
    <w:p>
      <w:pPr>
        <w:pStyle w:val="FirstParagraph"/>
      </w:pPr>
      <w:r>
        <w:t xml:space="preserve">We can also use Geogebra to create data displays.</w:t>
      </w:r>
    </w:p>
    <w:p>
      <w:pPr>
        <w:numPr>
          <w:ilvl w:val="0"/>
          <w:numId w:val="1005"/>
        </w:numPr>
        <w:pStyle w:val="Compact"/>
      </w:pPr>
      <w:r>
        <w:t xml:space="preserve">Click on the letter A for the first column so that the entire column is highlighted.</w:t>
      </w:r>
    </w:p>
    <w:p>
      <w:pPr>
        <w:numPr>
          <w:ilvl w:val="0"/>
          <w:numId w:val="1005"/>
        </w:numPr>
        <w:pStyle w:val="Compact"/>
      </w:pPr>
      <w:r>
        <w:t xml:space="preserve">Click on the button that looks like a histogram to get a new window labeled One Variable Analysis .</w:t>
      </w:r>
    </w:p>
    <w:p>
      <w:pPr>
        <w:numPr>
          <w:ilvl w:val="0"/>
          <w:numId w:val="1005"/>
        </w:numPr>
        <w:pStyle w:val="Compact"/>
      </w:pPr>
      <w:r>
        <w:t xml:space="preserve">Click Analyze to see a histogram of the data.</w:t>
      </w:r>
    </w:p>
    <w:p>
      <w:pPr>
        <w:numPr>
          <w:ilvl w:val="0"/>
          <w:numId w:val="1006"/>
        </w:numPr>
        <w:pStyle w:val="Compact"/>
      </w:pPr>
      <w:r>
        <w:t xml:space="preserve">Click the button</w:t>
      </w:r>
      <w:r>
        <w:t xml:space="preserve"> </w:t>
      </w:r>
      <m:oMath>
        <m:r>
          <m:t>Σ</m:t>
        </m:r>
        <m:r>
          <m:t>x</m:t>
        </m:r>
      </m:oMath>
      <w:r>
        <w:t xml:space="preserve"> </w:t>
      </w:r>
      <w:r>
        <w:t xml:space="preserve">to see many of the statistics.</w:t>
      </w:r>
    </w:p>
    <w:p>
      <w:pPr>
        <w:numPr>
          <w:ilvl w:val="1"/>
          <w:numId w:val="1007"/>
        </w:numPr>
        <w:pStyle w:val="Compact"/>
      </w:pPr>
      <w:r>
        <w:t xml:space="preserve">What does the value for n represent?</w:t>
      </w:r>
    </w:p>
    <w:p>
      <w:pPr>
        <w:numPr>
          <w:ilvl w:val="1"/>
          <w:numId w:val="1007"/>
        </w:numPr>
        <w:pStyle w:val="Compact"/>
      </w:pPr>
      <w:r>
        <w:t xml:space="preserve">What does the value for</w:t>
      </w:r>
      <w:r>
        <w:t xml:space="preserve"> </w:t>
      </w:r>
      <m:oMath>
        <m:r>
          <m:t>Σ</m:t>
        </m:r>
        <m:r>
          <m:t>x</m:t>
        </m:r>
      </m:oMath>
      <w:r>
        <w:t xml:space="preserve"> </w:t>
      </w:r>
      <w:r>
        <w:t xml:space="preserve">represent?</w:t>
      </w:r>
    </w:p>
    <w:p>
      <w:pPr>
        <w:numPr>
          <w:ilvl w:val="1"/>
          <w:numId w:val="1007"/>
        </w:numPr>
        <w:pStyle w:val="Compact"/>
      </w:pPr>
      <w:r>
        <w:t xml:space="preserve">What other statistics do you recognize?</w:t>
      </w:r>
    </w:p>
    <w:p>
      <w:pPr>
        <w:numPr>
          <w:ilvl w:val="0"/>
          <w:numId w:val="1006"/>
        </w:numPr>
        <w:pStyle w:val="Compact"/>
      </w:pPr>
      <w:r>
        <w:t xml:space="preserve">Adjust the slider next to the word Histogram. What changes?</w:t>
      </w:r>
    </w:p>
    <w:p>
      <w:pPr>
        <w:numPr>
          <w:ilvl w:val="0"/>
          <w:numId w:val="1006"/>
        </w:numPr>
        <w:pStyle w:val="Compact"/>
      </w:pPr>
      <w:r>
        <w:t xml:space="preserve">Click on the button to the right of the slider to bring in another window with more options. Then, click the box next to Set Classes Manually and set the Width to 5. What does this do to the histogram?</w:t>
      </w:r>
    </w:p>
    <w:p>
      <w:pPr>
        <w:numPr>
          <w:ilvl w:val="0"/>
          <w:numId w:val="1006"/>
        </w:numPr>
        <w:pStyle w:val="Compact"/>
      </w:pPr>
      <w:r>
        <w:t xml:space="preserve">Click the word Histogram, and look at a box plot and dot plot of the data. When looking at the box plot, notice there is an x on the right side of the box plot. This represents a data point that is considered an outlier. Click on the button to the right of the slider, and uncheck the box labeled Show Outliers to include this point in the box plot. What changes? Why might you want to show outliers? Why might you want to include or exclude outliers?</w:t>
      </w:r>
    </w:p>
    <w:bookmarkEnd w:id="21"/>
    <w:p>
      <w:pPr>
        <w:pStyle w:val="FirstParagraph"/>
      </w:pPr>
      <w:r>
        <w:t xml:space="preserve"> </w:t>
      </w:r>
      <w:r>
        <w:t xml:space="preserve">Algebra 1</w:t>
      </w:r>
      <w:r>
        <w:br/>
      </w:r>
      <w:r>
        <w:t xml:space="preserve">Unit 1</w:t>
      </w:r>
      <w:r>
        <w:t xml:space="preserve">Lesson 9</w:t>
      </w:r>
      <w:r>
        <w:t xml:space="preserve">CC BY NC 2024 Illustrative Mathematics®</w:t>
      </w:r>
    </w:p>
    <w:bookmarkStart w:id="23" w:name="activity-482376"/>
    <w:p>
      <w:pPr>
        <w:pStyle w:val="Heading2"/>
      </w:pPr>
      <w:r>
        <w:t xml:space="preserve">9.3</w:t>
      </w:r>
      <w:r>
        <w:t xml:space="preserve">Making Digital Displays</w:t>
      </w:r>
    </w:p>
    <w:p>
      <w:pPr>
        <w:pStyle w:val="FirstParagraph"/>
      </w:pPr>
      <w:r>
        <w:t xml:space="preserve">Use the data that you collected from the numerical, statistical question from a previous lesson. Use technology to create a dot plot, boxplot, and histogram for your data. Then find the mean, median, and interquartile range for the data.</w:t>
      </w:r>
    </w:p>
    <w:bookmarkStart w:id="22" w:name="activity-482376"/>
    <w:p>
      <w:pPr>
        <w:pStyle w:val="Heading3"/>
      </w:pPr>
      <w:r>
        <w:t xml:space="preserve">Are you ready for more?</w:t>
      </w:r>
    </w:p>
    <w:p>
      <w:pPr>
        <w:pStyle w:val="FirstParagraph"/>
      </w:pPr>
      <w:r>
        <w:t xml:space="preserve">A stem and leaf plot is a table in which each data point is indicated by writing the first digit(s) on the left (the stem) and the last digit(s) on the right (the leaves). Each stem is written only once and shared by all data points with the same first digit(s). For example, the values 31, 32, and 45 might be represented like:</w:t>
      </w:r>
    </w:p>
    <w:p>
      <w:pPr>
        <w:pStyle w:val="BodyText"/>
      </w:pPr>
      <m:oMath>
        <m:m>
          <m:mPr>
            <m:baseJc m:val="center"/>
            <m:plcHide m:val="1"/>
            <m:mcs>
              <m:mc>
                <m:mcPr>
                  <m:mcJc m:val="center"/>
                  <m:count m:val="1"/>
                </m:mcPr>
              </m:mc>
              <m:mc>
                <m:mcPr>
                  <m:mcJc m:val="center"/>
                  <m:count m:val="1"/>
                </m:mcPr>
              </m:mc>
              <m:mc>
                <m:mcPr>
                  <m:mcJc m:val="center"/>
                  <m:count m:val="1"/>
                </m:mcPr>
              </m:mc>
            </m:mcs>
          </m:mPr>
          <m:mr>
            <m:e>
              <m:r>
                <m:t>3</m:t>
              </m:r>
            </m:e>
            <m:e>
              <m:r>
                <m:t>1</m:t>
              </m:r>
            </m:e>
            <m:e>
              <m:r>
                <m:t>2</m:t>
              </m:r>
            </m:e>
          </m:mr>
          <m:mr>
            <m:e>
              <m:r>
                <m:t>4</m:t>
              </m:r>
            </m:e>
            <m:e>
              <m:r>
                <m:t>5</m:t>
              </m:r>
            </m:e>
            <m:e/>
          </m:mr>
        </m:m>
      </m:oMath>
      <w:r>
        <w:br/>
      </w:r>
      <w:r>
        <w:t xml:space="preserve">Key: 3 | 1 means 31</w:t>
      </w:r>
    </w:p>
    <w:p>
      <w:pPr>
        <w:pStyle w:val="BodyText"/>
      </w:pPr>
      <w:r>
        <w:t xml:space="preserve">A class took an exam and earned the scores: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86</w:t>
            </w:r>
          </w:p>
        </w:tc>
        <w:tc>
          <w:tcPr/>
          <w:p>
            <w:pPr>
              <w:pStyle w:val="Compact"/>
              <w:jc w:val="left"/>
            </w:pPr>
            <w:r>
              <w:t xml:space="preserve">73</w:t>
            </w:r>
          </w:p>
        </w:tc>
        <w:tc>
          <w:tcPr/>
          <w:p>
            <w:pPr>
              <w:pStyle w:val="Compact"/>
              <w:jc w:val="left"/>
            </w:pPr>
            <w:r>
              <w:t xml:space="preserve">85</w:t>
            </w:r>
          </w:p>
        </w:tc>
        <w:tc>
          <w:tcPr/>
          <w:p>
            <w:pPr>
              <w:pStyle w:val="Compact"/>
              <w:jc w:val="left"/>
            </w:pPr>
            <w:r>
              <w:t xml:space="preserve">86</w:t>
            </w:r>
          </w:p>
        </w:tc>
        <w:tc>
          <w:tcPr/>
          <w:p>
            <w:pPr>
              <w:pStyle w:val="Compact"/>
              <w:jc w:val="left"/>
            </w:pPr>
            <w:r>
              <w:t xml:space="preserve">72</w:t>
            </w:r>
          </w:p>
        </w:tc>
        <w:tc>
          <w:tcPr/>
          <w:p>
            <w:pPr>
              <w:pStyle w:val="Compact"/>
              <w:jc w:val="left"/>
            </w:pPr>
            <w:r>
              <w:t xml:space="preserve">94</w:t>
            </w:r>
          </w:p>
        </w:tc>
        <w:tc>
          <w:tcPr/>
          <w:p>
            <w:pPr>
              <w:pStyle w:val="Compact"/>
              <w:jc w:val="left"/>
            </w:pPr>
            <w:r>
              <w:t xml:space="preserve">88</w:t>
            </w:r>
          </w:p>
        </w:tc>
        <w:tc>
          <w:tcPr/>
          <w:p>
            <w:pPr>
              <w:pStyle w:val="Compact"/>
              <w:jc w:val="left"/>
            </w:pPr>
            <w:r>
              <w:t xml:space="preserve">98</w:t>
            </w:r>
          </w:p>
        </w:tc>
      </w:tr>
      <w:tr>
        <w:tc>
          <w:tcPr/>
          <w:p>
            <w:pPr>
              <w:pStyle w:val="Compact"/>
              <w:jc w:val="left"/>
            </w:pPr>
            <w:r>
              <w:t xml:space="preserve">87</w:t>
            </w:r>
          </w:p>
        </w:tc>
        <w:tc>
          <w:tcPr/>
          <w:p>
            <w:pPr>
              <w:pStyle w:val="Compact"/>
              <w:jc w:val="left"/>
            </w:pPr>
            <w:r>
              <w:t xml:space="preserve">86</w:t>
            </w:r>
          </w:p>
        </w:tc>
        <w:tc>
          <w:tcPr/>
          <w:p>
            <w:pPr>
              <w:pStyle w:val="Compact"/>
              <w:jc w:val="left"/>
            </w:pPr>
            <w:r>
              <w:t xml:space="preserve">85</w:t>
            </w:r>
          </w:p>
        </w:tc>
        <w:tc>
          <w:tcPr/>
          <w:p>
            <w:pPr>
              <w:pStyle w:val="Compact"/>
              <w:jc w:val="left"/>
            </w:pPr>
            <w:r>
              <w:t xml:space="preserve">93</w:t>
            </w:r>
          </w:p>
        </w:tc>
        <w:tc>
          <w:tcPr/>
          <w:p>
            <w:pPr>
              <w:pStyle w:val="Compact"/>
              <w:jc w:val="left"/>
            </w:pPr>
            <w:r>
              <w:t xml:space="preserve">75</w:t>
            </w:r>
          </w:p>
        </w:tc>
        <w:tc>
          <w:tcPr/>
          <w:p>
            <w:pPr>
              <w:pStyle w:val="Compact"/>
              <w:jc w:val="left"/>
            </w:pPr>
            <w:r>
              <w:t xml:space="preserve">64</w:t>
            </w:r>
          </w:p>
        </w:tc>
        <w:tc>
          <w:tcPr/>
          <w:p>
            <w:pPr>
              <w:pStyle w:val="Compact"/>
              <w:jc w:val="left"/>
            </w:pPr>
            <w:r>
              <w:t xml:space="preserve">82</w:t>
            </w:r>
          </w:p>
        </w:tc>
        <w:tc>
          <w:tcPr/>
          <w:p>
            <w:pPr>
              <w:pStyle w:val="Compact"/>
              <w:jc w:val="left"/>
            </w:pPr>
            <w:r>
              <w:t xml:space="preserve">95</w:t>
            </w:r>
          </w:p>
        </w:tc>
      </w:tr>
      <w:tr>
        <w:tc>
          <w:tcPr/>
          <w:p>
            <w:pPr>
              <w:pStyle w:val="Compact"/>
              <w:jc w:val="left"/>
            </w:pPr>
            <w:r>
              <w:t xml:space="preserve">99</w:t>
            </w:r>
          </w:p>
        </w:tc>
        <w:tc>
          <w:tcPr/>
          <w:p>
            <w:pPr>
              <w:pStyle w:val="Compact"/>
              <w:jc w:val="left"/>
            </w:pPr>
            <w:r>
              <w:t xml:space="preserve">76</w:t>
            </w:r>
          </w:p>
        </w:tc>
        <w:tc>
          <w:tcPr/>
          <w:p>
            <w:pPr>
              <w:pStyle w:val="Compact"/>
              <w:jc w:val="left"/>
            </w:pPr>
            <w:r>
              <w:t xml:space="preserve">84</w:t>
            </w:r>
          </w:p>
        </w:tc>
        <w:tc>
          <w:tcPr/>
          <w:p>
            <w:pPr>
              <w:pStyle w:val="Compact"/>
              <w:jc w:val="left"/>
            </w:pPr>
            <w:r>
              <w:t xml:space="preserve">68</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8"/>
        </w:numPr>
      </w:pPr>
      <w:r>
        <w:t xml:space="preserve">Use technology to create a stem and leaf plot for this data set.</w:t>
      </w:r>
    </w:p>
    <w:p>
      <w:pPr>
        <w:numPr>
          <w:ilvl w:val="0"/>
          <w:numId w:val="1008"/>
        </w:numPr>
      </w:pPr>
      <w:r>
        <w:t xml:space="preserve">How can we see the shape of the distribution from this plot?</w:t>
      </w:r>
    </w:p>
    <w:p>
      <w:pPr>
        <w:numPr>
          <w:ilvl w:val="0"/>
          <w:numId w:val="1008"/>
        </w:numPr>
      </w:pPr>
      <w:r>
        <w:t xml:space="preserve">What information can we see from a stem and leaf plot that we cannot see from a histogram?</w:t>
      </w:r>
    </w:p>
    <w:p>
      <w:pPr>
        <w:numPr>
          <w:ilvl w:val="0"/>
          <w:numId w:val="1008"/>
        </w:numPr>
      </w:pPr>
      <w:r>
        <w:t xml:space="preserve">What do we have more control of in a histogram than in a stem and leaf plot?</w:t>
      </w:r>
    </w:p>
    <w:bookmarkEnd w:id="22"/>
    <w:bookmarkEnd w:id="23"/>
    <w:bookmarkStart w:id="24" w:name="lesson-482362"/>
    <w:p>
      <w:pPr>
        <w:pStyle w:val="Heading2"/>
      </w:pPr>
      <w:r>
        <w:t xml:space="preserve">Lesson 9 Summary</w:t>
      </w:r>
    </w:p>
    <w:p>
      <w:pPr>
        <w:pStyle w:val="FirstParagraph"/>
      </w:pPr>
      <w:r>
        <w:t xml:space="preserve">Data displays (like histograms or box plots) are very useful for quickly understanding a large amount of information, but often take a long time to construct accurately using pencil and paper. Technology can help create these displays as well as calculate useful</w:t>
      </w:r>
      <w:r>
        <w:t xml:space="preserve"> </w:t>
      </w:r>
      <w:r>
        <w:rPr>
          <w:iCs/>
          <w:i/>
        </w:rPr>
        <w:t xml:space="preserve">statistics</w:t>
      </w:r>
      <w:r>
        <w:t xml:space="preserve"> </w:t>
      </w:r>
      <w:r>
        <w:t xml:space="preserve">much faster than doing the same tasks by hand. Especially with very large data sets (in some experiments, millions of pieces of data are collected), technology is essential for putting the information into forms that are more easily understood.</w:t>
      </w:r>
    </w:p>
    <w:p>
      <w:pPr>
        <w:pStyle w:val="BodyText"/>
      </w:pPr>
      <w:r>
        <w:t xml:space="preserve">A</w:t>
      </w:r>
      <w:r>
        <w:t xml:space="preserve"> </w:t>
      </w:r>
      <w:r>
        <w:rPr>
          <w:bCs/>
          <w:b/>
        </w:rPr>
        <w:t xml:space="preserve">statistic</w:t>
      </w:r>
      <w:r>
        <w:t xml:space="preserve"> </w:t>
      </w:r>
      <w:r>
        <w:t xml:space="preserve">is a quantity that is calculated from sample data as a measure of a distribution.</w:t>
      </w:r>
      <w:r>
        <w:t xml:space="preserve"> </w:t>
      </w:r>
      <w:r>
        <w:rPr>
          <w:iCs/>
          <w:i/>
        </w:rPr>
        <w:t xml:space="preserve">Mean</w:t>
      </w:r>
      <w:r>
        <w:t xml:space="preserve"> </w:t>
      </w:r>
      <w:r>
        <w:t xml:space="preserve">and</w:t>
      </w:r>
      <w:r>
        <w:t xml:space="preserve"> </w:t>
      </w:r>
      <w:r>
        <w:rPr>
          <w:iCs/>
          <w:i/>
        </w:rPr>
        <w:t xml:space="preserve">median</w:t>
      </w:r>
      <w:r>
        <w:t xml:space="preserve"> </w:t>
      </w:r>
      <w:r>
        <w:t xml:space="preserve">are examples of statistics that are measures of center.</w:t>
      </w:r>
      <w:r>
        <w:t xml:space="preserve"> </w:t>
      </w:r>
      <w:r>
        <w:rPr>
          <w:iCs/>
          <w:i/>
        </w:rPr>
        <w:t xml:space="preserve">Mean absolute deviation (MAD)</w:t>
      </w:r>
      <w:r>
        <w:t xml:space="preserve"> </w:t>
      </w:r>
      <w:r>
        <w:t xml:space="preserve">and</w:t>
      </w:r>
      <w:r>
        <w:t xml:space="preserve"> </w:t>
      </w:r>
      <w:r>
        <w:rPr>
          <w:iCs/>
          <w:i/>
        </w:rPr>
        <w:t xml:space="preserve">interquartile range (IQR)</w:t>
      </w:r>
      <w:r>
        <w:t xml:space="preserve"> </w:t>
      </w:r>
      <w:r>
        <w:t xml:space="preserve">are examples of statistics that are measures of variability. Although the interpretation must still be done by people, using the tools available can improve the accuracy and speed of doing computations and creating graphs.</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2024-11-19T11:12:49Z</dcterms:created>
  <dcterms:modified xsi:type="dcterms:W3CDTF">2024-11-19T11:12:49Z</dcterms:modified>
</cp:coreProperties>
</file>

<file path=docProps/custom.xml><?xml version="1.0" encoding="utf-8"?>
<Properties xmlns="http://schemas.openxmlformats.org/officeDocument/2006/custom-properties" xmlns:vt="http://schemas.openxmlformats.org/officeDocument/2006/docPropsVTypes"/>
</file>