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jpg" ContentType="image/jpe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compartamos-más-sándwiches"/>
    <w:p>
      <w:pPr>
        <w:pStyle w:val="Heading2"/>
      </w:pPr>
      <w:r>
        <w:t xml:space="preserve">Lección 2: Compartamos más sándwiches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diagramas y expresiones para representar situaciones de división.</w:t>
      </w:r>
    </w:p>
    <w:bookmarkStart w:id="24" w:name="X0c170094d054063c935ba8701b69e89faefc2ad"/>
    <w:p>
      <w:pPr>
        <w:pStyle w:val="Heading3"/>
      </w:pPr>
      <w:r>
        <w:t xml:space="preserve">Calentamiento: Exploración de estimación: Nombremos esa fracción</w:t>
      </w:r>
    </w:p>
    <w:p>
      <w:pPr>
        <w:pStyle w:val="FirstParagraph"/>
      </w:pPr>
      <w:r>
        <w:t xml:space="preserve">El rectángulo grande representa 1. ¿Qué fracción del rectángulo grande está sombreada?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Rectangle. Less than 1 fourth shaded blue. " title="" id="22" name="Picture"/>
            <a:graphic>
              <a:graphicData uri="http://schemas.openxmlformats.org/drawingml/2006/picture">
                <pic:pic>
                  <pic:nvPicPr>
                    <pic:cNvPr descr="/app/tmp/embedder-1671065193.9392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un-sándwich"/>
    <w:p>
      <w:pPr>
        <w:pStyle w:val="Heading3"/>
      </w:pPr>
      <w:r>
        <w:t xml:space="preserve">2.1: Un sándwich</w:t>
      </w:r>
    </w:p>
    <w:p>
      <w:pPr>
        <w:pStyle w:val="FirstParagraph"/>
      </w:pPr>
      <w:r>
        <w:t xml:space="preserve">La familia de Jada hizo sándwiches para compartir en una celebración familiar. Completa la tabla que muestra la cantidad de sándwich que recibe cada persona.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5193.9935637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número de sándwiches que se comparten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personas que comparten sándwiches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cantidad de sándwich que recibe cada persona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expresión de división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Escoge una fila de la tabla y usa un diagrama para representar cómo pensaste.</w:t>
      </w:r>
    </w:p>
    <w:p>
      <w:pPr>
        <w:numPr>
          <w:ilvl w:val="0"/>
          <w:numId w:val="1002"/>
        </w:numPr>
        <w:pStyle w:val="Compact"/>
      </w:pPr>
      <w:r>
        <w:t xml:space="preserve">¿Qué patrones observas en la tabla?</w:t>
      </w:r>
    </w:p>
    <w:bookmarkEnd w:id="28"/>
    <w:bookmarkStart w:id="35" w:name="clasificación-de-tarjetas-emparejados"/>
    <w:p>
      <w:pPr>
        <w:pStyle w:val="Heading3"/>
      </w:pPr>
      <w:r>
        <w:t xml:space="preserve">2.2: Clasificación de tarjetas: Emparejados</w:t>
      </w:r>
    </w:p>
    <w:p>
      <w:pPr>
        <w:pStyle w:val="FirstParagraph"/>
      </w:pPr>
      <w:r>
        <w:drawing>
          <wp:inline>
            <wp:extent cx="2971800" cy="960122"/>
            <wp:effectExtent b="0" l="0" r="0" t="0"/>
            <wp:docPr descr="2 diagrams of equal length. 5 equal parts. 1 part shaded. Total length, 1." title="" id="30" name="Picture"/>
            <a:graphic>
              <a:graphicData uri="http://schemas.openxmlformats.org/drawingml/2006/picture">
                <pic:pic>
                  <pic:nvPicPr>
                    <pic:cNvPr descr="/app/tmp/embedder-1671065194.051007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Tu profesor te dará varias tarjetas. Asocia cada representación con una situación y una expresión. Algunas situaciones y expresiones pueden corresponder a más de una representación.</w:t>
      </w:r>
    </w:p>
    <w:p>
      <w:pPr>
        <w:pStyle w:val="BodyText"/>
      </w:pPr>
      <w:r>
        <w:t xml:space="preserve">Escoge un grupo de tarjetas que hayas asociado.</w:t>
      </w:r>
    </w:p>
    <w:p>
      <w:pPr>
        <w:numPr>
          <w:ilvl w:val="0"/>
          <w:numId w:val="1003"/>
        </w:numPr>
        <w:pStyle w:val="Compact"/>
      </w:pPr>
      <w:r>
        <w:t xml:space="preserve">Muestra o explica cómo el diagrama (o los diagramas) y la expresión representan el número de sándwiches que se comparten.</w:t>
      </w:r>
    </w:p>
    <w:p>
      <w:pPr>
        <w:numPr>
          <w:ilvl w:val="0"/>
          <w:numId w:val="1003"/>
        </w:numPr>
        <w:pStyle w:val="Compact"/>
      </w:pPr>
      <w:r>
        <w:t xml:space="preserve">Muestra o explica cómo el diagrama (o los diagramas) y la expresión representan el número de personas que comparten los sándwiches.</w:t>
      </w:r>
    </w:p>
    <w:p>
      <w:pPr>
        <w:numPr>
          <w:ilvl w:val="0"/>
          <w:numId w:val="1003"/>
        </w:numPr>
        <w:pStyle w:val="Compact"/>
      </w:pPr>
      <w:r>
        <w:t xml:space="preserve">¿Qué cantidad de sándwich recibe cada persona en esta situación?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jp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2022-12-15T00:46:34Z</dcterms:created>
  <dcterms:modified xsi:type="dcterms:W3CDTF">2022-12-15T00:46:34Z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0yirYoqtaDp4M14fcVtlReYi/3JM6GU4pBpuumCZ1y/3LO475iWQZ73X/QEgP0kt38qG9FhiOCMhkIvKFJbUcg==</vt:lpwstr>
  </property>
</Properties>
</file>