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651b9a8fb551df35162d85626c00e2d4c74f694"/>
    <w:p>
      <w:pPr>
        <w:pStyle w:val="Heading1"/>
      </w:pPr>
      <w:r>
        <w:t xml:space="preserve">Lesson 10: Comparaciones usando valores posicionales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by reasoning about the value of the digits.</w:t>
      </w:r>
    </w:p>
    <w:bookmarkEnd w:id="24"/>
    <w:bookmarkStart w:id="25" w:name="student-facing-learning-goals"/>
    <w:p>
      <w:pPr>
        <w:pStyle w:val="Heading3"/>
      </w:pPr>
      <w:r>
        <w:t xml:space="preserve">Student-facing Learning Goals</w:t>
      </w:r>
    </w:p>
    <w:p>
      <w:pPr>
        <w:numPr>
          <w:ilvl w:val="0"/>
          <w:numId w:val="1002"/>
        </w:numPr>
        <w:pStyle w:val="Compact"/>
      </w:pPr>
      <w:r>
        <w:t xml:space="preserve">Usemos el valor posicional para comparar números de tres dígitos.</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their understanding of place value.</w:t>
      </w:r>
    </w:p>
    <w:p>
      <w:pPr>
        <w:pStyle w:val="BodyText"/>
      </w:pPr>
      <w:r>
        <w:t xml:space="preserve">In grade 1, students compared two-digit numbers using the</w:t>
      </w:r>
      <w:r>
        <w:t xml:space="preserve"> </w:t>
      </w:r>
      <m:oMath>
        <m:r>
          <m:rPr>
            <m:sty m:val="p"/>
          </m:rPr>
          <m:t>&lt;</m:t>
        </m:r>
      </m:oMath>
      <w:r>
        <w:t xml:space="preserve">,</w:t>
      </w:r>
      <w:r>
        <w:t xml:space="preserve"> </w:t>
      </w:r>
      <m:oMath>
        <m:r>
          <m:rPr>
            <m:sty m:val="p"/>
          </m:rPr>
          <m:t>&gt;</m:t>
        </m:r>
      </m:oMath>
      <w:r>
        <w:t xml:space="preserve">, and </w:t>
      </w:r>
      <m:oMath>
        <m:r>
          <m:rPr>
            <m:sty m:val="p"/>
          </m:rPr>
          <m:t>=</m:t>
        </m:r>
      </m:oMath>
      <w:r>
        <w:t xml:space="preserve"> </w:t>
      </w:r>
      <w:r>
        <w:t xml:space="preserve">symbols. In previous lessons, students represented three-digit numbers in different ways and identified the place value of digits in three-digit numbers.</w:t>
      </w:r>
    </w:p>
    <w:p>
      <w:pPr>
        <w:pStyle w:val="BodyText"/>
      </w:pPr>
      <w:r>
        <w:t xml:space="preserve">In this lesson, students transition from representing and comparing three-digit numbers based on the counting sequence and their location on the number line to focus on reasoning based on place value. They compare hundreds to hundreds, tens to tens, and ones to ones and learn that any number with a greater number of hundreds is larger than a number with fewer hundreds, regardless of the value of the tens and ones (MP7). For example,</w:t>
      </w:r>
      <w:r>
        <w:t xml:space="preserve"> </w:t>
      </w:r>
      <m:oMath>
        <m:r>
          <m:t>202</m:t>
        </m:r>
        <m:r>
          <m:rPr>
            <m:sty m:val="p"/>
          </m:rPr>
          <m:t>&gt;</m:t>
        </m:r>
        <m:r>
          <m:t>199</m:t>
        </m:r>
      </m:oMath>
      <w:r>
        <w:t xml:space="preserve"> </w:t>
      </w:r>
      <w:r>
        <w:t xml:space="preserve">because there are 2 hundreds compared to 1 hundred. In this lesson, they compare quantities represented with base-ten diagrams to support students’ reasoning based on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Cuenta y compara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3"/>
    <w:bookmarkStart w:id="50" w:name="student-facing-task-statement"/>
    <w:p>
      <w:pPr>
        <w:pStyle w:val="Heading3"/>
      </w:pPr>
      <w:r>
        <w:t xml:space="preserve">Student-facing Task Statement</w:t>
      </w:r>
    </w:p>
    <w:p>
      <w:pPr>
        <w:numPr>
          <w:ilvl w:val="0"/>
          <w:numId w:val="1005"/>
        </w:numPr>
      </w:pPr>
      <w:r>
        <w:t xml:space="preserve">Escribe el valor de cada diagrama en base diez como un número de tres dígitos. Usa los símbolos</w:t>
      </w:r>
      <w:r>
        <w:t xml:space="preserve"> </w:t>
      </w:r>
      <m:oMath>
        <m:r>
          <m:rPr>
            <m:sty m:val="p"/>
          </m:rPr>
          <m:t>&gt;</m:t>
        </m:r>
      </m:oMath>
      <w:r>
        <w:t xml:space="preserve">,</w:t>
      </w:r>
      <w:r>
        <w:t xml:space="preserve"> </w:t>
      </w:r>
      <m:oMath>
        <m:r>
          <m:rPr>
            <m:sty m:val="p"/>
          </m:rPr>
          <m:t>=</m:t>
        </m:r>
      </m:oMath>
      <w:r>
        <w:t xml:space="preserve"> o </w:t>
      </w:r>
      <m:oMath>
        <m:r>
          <m:rPr>
            <m:sty m:val="p"/>
          </m:rPr>
          <m:t>&lt;</m:t>
        </m:r>
      </m:oMath>
      <w:r>
        <w:t xml:space="preserve"> </w:t>
      </w:r>
      <w:r>
        <w:t xml:space="preserve">para comparar los números.</w:t>
      </w:r>
    </w:p>
    <w:p>
      <w:pPr>
        <w:numPr>
          <w:ilvl w:val="0"/>
          <w:numId w:val="1000"/>
        </w:numPr>
        <w:pStyle w:val="Compact"/>
      </w:pPr>
      <w:r>
        <w:drawing>
          <wp:inline>
            <wp:extent cx="3657600" cy="1097290"/>
            <wp:effectExtent b="0" l="0" r="0" t="0"/>
            <wp:docPr descr="Base ten diagram. 2 hundreds. 2 tens. 7 ones." title="" id="45" name="Picture"/>
            <a:graphic>
              <a:graphicData uri="http://schemas.openxmlformats.org/drawingml/2006/picture">
                <pic:pic>
                  <pic:nvPicPr>
                    <pic:cNvPr descr="/app/tmp/embedder-1671061557.2229223.png" id="46" name="Picture"/>
                    <pic:cNvPicPr>
                      <a:picLocks noChangeArrowheads="1" noChangeAspect="1"/>
                    </pic:cNvPicPr>
                  </pic:nvPicPr>
                  <pic:blipFill>
                    <a:blip r:embed="rId44"/>
                    <a:stretch>
                      <a:fillRect/>
                    </a:stretch>
                  </pic:blipFill>
                  <pic:spPr bwMode="auto">
                    <a:xfrm>
                      <a:off x="0" y="0"/>
                      <a:ext cx="3657600" cy="1097290"/>
                    </a:xfrm>
                    <a:prstGeom prst="rect">
                      <a:avLst/>
                    </a:prstGeom>
                    <a:noFill/>
                    <a:ln w="9525">
                      <a:noFill/>
                      <a:headEnd/>
                      <a:tailEnd/>
                    </a:ln>
                  </pic:spPr>
                </pic:pic>
              </a:graphicData>
            </a:graphic>
          </wp:inline>
        </w:drawing>
      </w:r>
    </w:p>
    <w:p>
      <w:pPr>
        <w:numPr>
          <w:ilvl w:val="0"/>
          <w:numId w:val="1000"/>
        </w:numPr>
        <w:pStyle w:val="Compact"/>
      </w:pPr>
      <w:r>
        <w:drawing>
          <wp:inline>
            <wp:extent cx="3657600" cy="1097290"/>
            <wp:effectExtent b="0" l="0" r="0" t="0"/>
            <wp:docPr descr="Base ten diagram. 2 hundreds. 2 tens. 6 ones." title="" id="48" name="Picture"/>
            <a:graphic>
              <a:graphicData uri="http://schemas.openxmlformats.org/drawingml/2006/picture">
                <pic:pic>
                  <pic:nvPicPr>
                    <pic:cNvPr descr="/app/tmp/embedder-1671061557.2775466.png" id="49" name="Picture"/>
                    <pic:cNvPicPr>
                      <a:picLocks noChangeArrowheads="1" noChangeAspect="1"/>
                    </pic:cNvPicPr>
                  </pic:nvPicPr>
                  <pic:blipFill>
                    <a:blip r:embed="rId47"/>
                    <a:stretch>
                      <a:fillRect/>
                    </a:stretch>
                  </pic:blipFill>
                  <pic:spPr bwMode="auto">
                    <a:xfrm>
                      <a:off x="0" y="0"/>
                      <a:ext cx="3657600" cy="109729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phant>
          <m:phantPr>
            <m:show m:val="0"/>
          </m:phantPr>
          <m:e>
            <m:r>
              <m:t>3</m:t>
            </m:r>
          </m:e>
        </m:phant>
        <m:borderBox>
          <m:e>
            <m:phant>
              <m:phantPr>
                <m:show m:val="0"/>
              </m:phantPr>
              <m:e>
                <m:r>
                  <m:t>33</m:t>
                </m:r>
              </m:e>
            </m:phant>
          </m:e>
        </m:borderBox>
        <m:phant>
          <m:phantPr>
            <m:show m:val="0"/>
          </m:phantPr>
          <m:e>
            <m:r>
              <m:t>3</m:t>
            </m:r>
          </m:e>
        </m:phant>
        <m:limLow>
          <m:e>
            <m:r>
              <m:t> </m:t>
            </m:r>
          </m:e>
          <m:lim>
            <m:r>
              <m:rPr>
                <m:sty m:val="p"/>
              </m:rPr>
              <m:t>_</m:t>
            </m:r>
          </m:lim>
        </m:limLow>
      </m:oMath>
    </w:p>
    <w:p>
      <w:pPr>
        <w:numPr>
          <w:ilvl w:val="0"/>
          <w:numId w:val="1005"/>
        </w:numPr>
        <w:pStyle w:val="Compact"/>
      </w:pPr>
      <w:r>
        <w:t xml:space="preserve">Explica cómo lo sabes.</w:t>
      </w:r>
    </w:p>
    <w:bookmarkEnd w:id="50"/>
    <w:bookmarkStart w:id="51" w:name="student-responses"/>
    <w:p>
      <w:pPr>
        <w:pStyle w:val="Heading3"/>
      </w:pPr>
      <w:r>
        <w:t xml:space="preserve">Student Responses</w:t>
      </w:r>
    </w:p>
    <w:p>
      <w:pPr>
        <w:numPr>
          <w:ilvl w:val="0"/>
          <w:numId w:val="1006"/>
        </w:numPr>
        <w:pStyle w:val="Compact"/>
      </w:pPr>
      <m:oMath>
        <m:r>
          <m:t>227</m:t>
        </m:r>
        <m:r>
          <m:rPr>
            <m:sty m:val="p"/>
          </m:rPr>
          <m:t>&gt;</m:t>
        </m:r>
        <m:r>
          <m:t>226</m:t>
        </m:r>
      </m:oMath>
    </w:p>
    <w:p>
      <w:pPr>
        <w:numPr>
          <w:ilvl w:val="0"/>
          <w:numId w:val="1006"/>
        </w:numPr>
        <w:pStyle w:val="Compact"/>
      </w:pPr>
      <w:r>
        <w:t xml:space="preserve">227 is greater than 226 because they have the same number of hundreds and tens, but 227 has 1 more one than 226.</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2022-12-14T23:45:58Z</dcterms:created>
  <dcterms:modified xsi:type="dcterms:W3CDTF">2022-12-14T23:45:58Z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h0GQjjF7UloYxqZctsSFWbzMkARBNt3XB6eg/JhB88mjRdXXXfOqB90iBULnoKkxhSTpglW8gMyCLUWM7E7wlA==</vt:lpwstr>
  </property>
</Properties>
</file>