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e01c857c501b31fdbe01a400dff1b014420a91e"/>
    <w:p>
      <w:pPr>
        <w:pStyle w:val="Heading1"/>
      </w:pPr>
      <w:r>
        <w:t xml:space="preserve">Lesson 7: Generalize Fraction Multiplication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5.NF.B.4, 5.NF.B.4.a</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Generalize to find the product of any 2 fractions.</w:t>
      </w:r>
    </w:p>
    <w:bookmarkEnd w:id="24"/>
    <w:bookmarkStart w:id="25" w:name="student-facing-learning-goals"/>
    <w:p>
      <w:pPr>
        <w:pStyle w:val="Heading3"/>
      </w:pPr>
      <w:r>
        <w:t xml:space="preserve">Student-facing Learning Goals</w:t>
      </w:r>
    </w:p>
    <w:p>
      <w:pPr>
        <w:numPr>
          <w:ilvl w:val="0"/>
          <w:numId w:val="1002"/>
        </w:numPr>
        <w:pStyle w:val="Compact"/>
      </w:pPr>
      <w:r>
        <w:t xml:space="preserve">Let’s use what we’ve learned to multiply any fractions.</w:t>
      </w:r>
    </w:p>
    <w:bookmarkEnd w:id="25"/>
    <w:bookmarkStart w:id="26" w:name="lesson-purpose"/>
    <w:p>
      <w:pPr>
        <w:pStyle w:val="Heading3"/>
      </w:pPr>
      <w:r>
        <w:t xml:space="preserve">Lesson Purpose</w:t>
      </w:r>
    </w:p>
    <w:p>
      <w:pPr>
        <w:pStyle w:val="FirstParagraph"/>
      </w:pPr>
      <w:r>
        <w:t xml:space="preserve">The purpose of this lesson is to generalize strategies for calculating products of fractions.</w:t>
      </w:r>
    </w:p>
    <w:p>
      <w:pPr>
        <w:pStyle w:val="BodyText"/>
      </w:pPr>
      <w:r>
        <w:t xml:space="preserve">In this lesson, students find areas of rectangles where the subdivision of each side into unit fractions is not shown. They rely on their understanding of covering the area with appropriate size fractional pieces, understanding that the numerator of the area is the number of those pieces while the denominator is the number of those pieces in 1 square unit. Then students work abstractly with fractions, finding missing values in equations showing products of fractions with no reference to area.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As students described how Diego’s diagram represented the expression </w:t>
      </w:r>
      <m:oMath>
        <m:f>
          <m:fPr>
            <m:type m:val="bar"/>
          </m:fPr>
          <m:num>
            <m:r>
              <m:t>9</m:t>
            </m:r>
          </m:num>
          <m:den>
            <m:r>
              <m:t>11</m:t>
            </m:r>
          </m:den>
        </m:f>
        <m:r>
          <m:rPr>
            <m:sty m:val="p"/>
          </m:rPr>
          <m:t>×</m:t>
        </m:r>
        <m:f>
          <m:fPr>
            <m:type m:val="bar"/>
          </m:fPr>
          <m:num>
            <m:r>
              <m:t>5</m:t>
            </m:r>
          </m:num>
          <m:den>
            <m:r>
              <m:t>8</m:t>
            </m:r>
          </m:den>
        </m:f>
      </m:oMath>
      <w:r>
        <w:t xml:space="preserve">, what evidence did you see that they are extending their understanding of multiplication as area? </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Multiply Fractions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5.NF.B.4</w:t>
            </w:r>
          </w:p>
        </w:tc>
      </w:tr>
    </w:tbl>
    <w:bookmarkEnd w:id="43"/>
    <w:bookmarkStart w:id="44" w:name="student-facing-task-statement"/>
    <w:p>
      <w:pPr>
        <w:pStyle w:val="Heading3"/>
      </w:pPr>
      <w:r>
        <w:t xml:space="preserve">Student-facing Task Statement</w:t>
      </w:r>
    </w:p>
    <w:p>
      <w:pPr>
        <w:pStyle w:val="FirstParagraph"/>
      </w:pPr>
      <w:r>
        <w:t xml:space="preserve">Find the value that makes each equation true.</w:t>
      </w:r>
    </w:p>
    <w:p>
      <w:pPr>
        <w:numPr>
          <w:ilvl w:val="0"/>
          <w:numId w:val="1005"/>
        </w:numPr>
      </w:pPr>
      <m:oMath>
        <m:f>
          <m:fPr>
            <m:type m:val="bar"/>
          </m:fPr>
          <m:num>
            <m:r>
              <m:t>3</m:t>
            </m:r>
          </m:num>
          <m:den>
            <m:r>
              <m:t>4</m:t>
            </m:r>
          </m:den>
        </m:f>
        <m:r>
          <m:rPr>
            <m:sty m:val="p"/>
          </m:rPr>
          <m:t>×</m:t>
        </m:r>
        <m:f>
          <m:fPr>
            <m:type m:val="bar"/>
          </m:fPr>
          <m:num>
            <m:r>
              <m:t>10</m:t>
            </m:r>
          </m:num>
          <m:den>
            <m:r>
              <m:t>12</m:t>
            </m:r>
          </m:den>
        </m:f>
        <m:r>
          <m:rPr>
            <m:sty m:val="p"/>
          </m:rPr>
          <m:t>=</m:t>
        </m:r>
        <m:limLow>
          <m:e>
            <m:r>
              <m:t> </m:t>
            </m:r>
          </m:e>
          <m:lim>
            <m:r>
              <m:rPr>
                <m:sty m:val="p"/>
              </m:rPr>
              <m:t>_</m:t>
            </m:r>
          </m:lim>
        </m:limLow>
      </m:oMath>
    </w:p>
    <w:p>
      <w:pPr>
        <w:numPr>
          <w:ilvl w:val="0"/>
          <w:numId w:val="1005"/>
        </w:numPr>
        <w:pStyle w:val="Compact"/>
      </w:pPr>
      <m:oMath>
        <m:f>
          <m:fPr>
            <m:type m:val="bar"/>
          </m:fPr>
          <m:num>
            <m:r>
              <m:t>7</m:t>
            </m:r>
          </m:num>
          <m:den>
            <m:r>
              <m:t>5</m:t>
            </m:r>
          </m:den>
        </m:f>
        <m:r>
          <m:rPr>
            <m:sty m:val="p"/>
          </m:rPr>
          <m:t>×</m:t>
        </m:r>
        <m:limLow>
          <m:e>
            <m:r>
              <m:t> </m:t>
            </m:r>
          </m:e>
          <m:lim>
            <m:r>
              <m:rPr>
                <m:sty m:val="p"/>
              </m:rPr>
              <m:t>_</m:t>
            </m:r>
          </m:lim>
        </m:limLow>
        <m:r>
          <m:rPr>
            <m:sty m:val="p"/>
          </m:rPr>
          <m:t>=</m:t>
        </m:r>
        <m:f>
          <m:fPr>
            <m:type m:val="bar"/>
          </m:fPr>
          <m:num>
            <m:r>
              <m:t>42</m:t>
            </m:r>
          </m:num>
          <m:den>
            <m:r>
              <m:t>15</m:t>
            </m:r>
          </m:den>
        </m:f>
      </m:oMath>
    </w:p>
    <w:bookmarkEnd w:id="44"/>
    <w:bookmarkStart w:id="45" w:name="student-responses"/>
    <w:p>
      <w:pPr>
        <w:pStyle w:val="Heading3"/>
      </w:pPr>
      <w:r>
        <w:t xml:space="preserve">Student Responses</w:t>
      </w:r>
    </w:p>
    <w:p>
      <w:pPr>
        <w:numPr>
          <w:ilvl w:val="0"/>
          <w:numId w:val="1006"/>
        </w:numPr>
        <w:pStyle w:val="Compact"/>
      </w:pPr>
      <m:oMath>
        <m:f>
          <m:fPr>
            <m:type m:val="bar"/>
          </m:fPr>
          <m:num>
            <m:r>
              <m:t>30</m:t>
            </m:r>
          </m:num>
          <m:den>
            <m:r>
              <m:t>48</m:t>
            </m:r>
          </m:den>
        </m:f>
      </m:oMath>
      <w:r>
        <w:t xml:space="preserve"> </w:t>
      </w:r>
      <w:r>
        <w:t xml:space="preserve">or equivalent</w:t>
      </w:r>
    </w:p>
    <w:p>
      <w:pPr>
        <w:numPr>
          <w:ilvl w:val="0"/>
          <w:numId w:val="1006"/>
        </w:numPr>
        <w:pStyle w:val="Compact"/>
      </w:pPr>
      <m:oMath>
        <m:f>
          <m:fPr>
            <m:type m:val="bar"/>
          </m:fPr>
          <m:num>
            <m:r>
              <m:t>6</m:t>
            </m:r>
          </m:num>
          <m:den>
            <m:r>
              <m:t>3</m:t>
            </m:r>
          </m:den>
        </m:f>
      </m:oMath>
      <w:r>
        <w:t xml:space="preserve"> </w:t>
      </w:r>
      <w:r>
        <w:t xml:space="preserve">or equivalent</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2022-12-14T14:22:43Z</dcterms:created>
  <dcterms:modified xsi:type="dcterms:W3CDTF">2022-12-14T14:22:43Z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Hyrob6PKsqv77VwXWEVTzdNiZhQGGb2Lu0Qrb+J5TEE7Lq02z0JK9j4J/wkJIX+l6oofkhKT4JA+zs4flnZPHA==</vt:lpwstr>
  </property>
</Properties>
</file>