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6-rectangles-and-squares"/>
    <w:p>
      <w:pPr>
        <w:pStyle w:val="Heading1"/>
      </w:pPr>
      <w:r>
        <w:t xml:space="preserve">Lesson 6: Rectangles and Squares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squares and rectangles based on defining attributes.</w:t>
      </w:r>
    </w:p>
    <w:p>
      <w:pPr>
        <w:numPr>
          <w:ilvl w:val="0"/>
          <w:numId w:val="1001"/>
        </w:numPr>
        <w:pStyle w:val="Compact"/>
      </w:pPr>
      <w:r>
        <w:t xml:space="preserve">Identify defining and non-defining attributes of rectangles and squares.</w:t>
      </w:r>
    </w:p>
    <w:p>
      <w:pPr>
        <w:numPr>
          <w:ilvl w:val="0"/>
          <w:numId w:val="1001"/>
        </w:numPr>
        <w:pStyle w:val="Compact"/>
      </w:pPr>
      <w:r>
        <w:t xml:space="preserve">Recognize a square as a special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what makes a shape a rectangle or a square.</w:t>
      </w:r>
    </w:p>
    <w:bookmarkEnd w:id="25"/>
    <w:bookmarkStart w:id="26" w:name="lesson-purpose"/>
    <w:p>
      <w:pPr>
        <w:pStyle w:val="Heading3"/>
      </w:pPr>
      <w:r>
        <w:t xml:space="preserve">Lesson Purpose</w:t>
      </w:r>
    </w:p>
    <w:p>
      <w:pPr>
        <w:pStyle w:val="FirstParagraph"/>
      </w:pPr>
      <w:r>
        <w:t xml:space="preserve">The purpose of this lesson is for students to identify defining and non-defining attributes of squares and rectangles. Students draw rectangles and squares as well as non-examples of rectangles and squares.</w:t>
      </w:r>
    </w:p>
    <w:p>
      <w:pPr>
        <w:pStyle w:val="BodyText"/>
      </w:pPr>
      <w:r>
        <w:t xml:space="preserve">Earlier in this section, students sorted shapes and described their attributes. In the previous lesson, students learned the defining attributes of triangles (all triangles are closed, have three straight sides, and three corners).</w:t>
      </w:r>
    </w:p>
    <w:p>
      <w:pPr>
        <w:pStyle w:val="BodyText"/>
      </w:pPr>
      <w:r>
        <w:t xml:space="preserve">In this lesson, students continue that work, this time with squares and rectangles. Students learn that a square is a special rectangle because it has the defining attributes of a rectangle (four sides and four square corners), but also has four sides with equal lengths. Students should be able to identify squares as rectangles, but they do not need to articulate a formal definition of a rectangle or a square.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bookmarkEnd w:id="37"/>
    <w:bookmarkStart w:id="38" w:name="materials-to-copy"/>
    <w:p>
      <w:pPr>
        <w:pStyle w:val="Heading3"/>
      </w:pPr>
      <w:r>
        <w:t xml:space="preserve">Materials to Copy</w:t>
      </w:r>
    </w:p>
    <w:p>
      <w:pPr>
        <w:numPr>
          <w:ilvl w:val="0"/>
          <w:numId w:val="1006"/>
        </w:numPr>
        <w:pStyle w:val="Compact"/>
      </w:pPr>
      <w:r>
        <w:t xml:space="preserve">Centimeter Dot Paper -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evidence have students given that they can distinguish between defining and non-defining attributes?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Color Shapes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45"/>
    <w:bookmarkStart w:id="49" w:name="student-facing-task-statement"/>
    <w:p>
      <w:pPr>
        <w:pStyle w:val="Heading3"/>
      </w:pPr>
      <w:r>
        <w:t xml:space="preserve">Student-facing Task Statement</w:t>
      </w:r>
    </w:p>
    <w:p>
      <w:pPr>
        <w:numPr>
          <w:ilvl w:val="0"/>
          <w:numId w:val="1007"/>
        </w:numPr>
      </w:pPr>
      <w:r>
        <w:t xml:space="preserve">Color the 3 rectangles.</w:t>
      </w:r>
    </w:p>
    <w:p>
      <w:pPr>
        <w:numPr>
          <w:ilvl w:val="0"/>
          <w:numId w:val="1000"/>
        </w:numPr>
        <w:pStyle w:val="Compact"/>
      </w:pPr>
      <w:r>
        <w:drawing>
          <wp:inline>
            <wp:extent cx="5943600" cy="2834640"/>
            <wp:effectExtent b="0" l="0" r="0" t="0"/>
            <wp:docPr descr="A collection of flat shapes." title="" id="47" name="Picture"/>
            <a:graphic>
              <a:graphicData uri="http://schemas.openxmlformats.org/drawingml/2006/picture">
                <pic:pic>
                  <pic:nvPicPr>
                    <pic:cNvPr descr="/app/tmp/embedder-1671016912.1811059.png" id="48" name="Picture"/>
                    <pic:cNvPicPr>
                      <a:picLocks noChangeArrowheads="1" noChangeAspect="1"/>
                    </pic:cNvPicPr>
                  </pic:nvPicPr>
                  <pic:blipFill>
                    <a:blip r:embed="rId46"/>
                    <a:stretch>
                      <a:fillRect/>
                    </a:stretch>
                  </pic:blipFill>
                  <pic:spPr bwMode="auto">
                    <a:xfrm>
                      <a:off x="0" y="0"/>
                      <a:ext cx="5943600" cy="2834640"/>
                    </a:xfrm>
                    <a:prstGeom prst="rect">
                      <a:avLst/>
                    </a:prstGeom>
                    <a:noFill/>
                    <a:ln w="9525">
                      <a:noFill/>
                      <a:headEnd/>
                      <a:tailEnd/>
                    </a:ln>
                  </pic:spPr>
                </pic:pic>
              </a:graphicData>
            </a:graphic>
          </wp:inline>
        </w:drawing>
      </w:r>
    </w:p>
    <w:p>
      <w:pPr>
        <w:numPr>
          <w:ilvl w:val="0"/>
          <w:numId w:val="1007"/>
        </w:numPr>
        <w:pStyle w:val="Compact"/>
      </w:pPr>
      <w:r>
        <w:t xml:space="preserve">Write 2 things that are true about all rectangles.</w:t>
      </w:r>
    </w:p>
    <w:bookmarkEnd w:id="49"/>
    <w:bookmarkStart w:id="50" w:name="student-responses"/>
    <w:p>
      <w:pPr>
        <w:pStyle w:val="Heading3"/>
      </w:pPr>
      <w:r>
        <w:t xml:space="preserve">Student Responses</w:t>
      </w:r>
    </w:p>
    <w:p>
      <w:pPr>
        <w:numPr>
          <w:ilvl w:val="0"/>
          <w:numId w:val="1008"/>
        </w:numPr>
        <w:pStyle w:val="Compact"/>
      </w:pPr>
      <w:r>
        <w:t xml:space="preserve">Student colors all rectangles (and squares).</w:t>
      </w:r>
    </w:p>
    <w:p>
      <w:pPr>
        <w:numPr>
          <w:ilvl w:val="0"/>
          <w:numId w:val="1008"/>
        </w:numPr>
        <w:pStyle w:val="Compact"/>
      </w:pPr>
      <w:r>
        <w:t xml:space="preserve">Sample response: They all have four straight sides. They all have four square corners.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2022-12-14T11:21:53Z</dcterms:created>
  <dcterms:modified xsi:type="dcterms:W3CDTF">2022-12-14T11:21:53Z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dcm0G7gxknGuMgnhVLP75iHqMiKFalDfAaBSwOEAGklRzfFC1LlqLGvWqv8F19eOGAJLpJHgDcSEKrewlQ8ZFA==</vt:lpwstr>
  </property>
</Properties>
</file>