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svg" ContentType="image/svg+xml;base64"/>
  <Override PartName="/word/media/rId35.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2" w:name="X2b24fcfa16f21311fed0edbbc10350da65d9d88"/>
    <w:p>
      <w:pPr>
        <w:pStyle w:val="Heading1"/>
      </w:pPr>
      <w:r>
        <w:t xml:space="preserve">Lesson 11: Dividamos fracciones unitarias entre números enteros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5.NF.B.7.a</w:t>
            </w:r>
          </w:p>
        </w:tc>
      </w:tr>
      <w:tr>
        <w:tc>
          <w:tcPr/>
          <w:p>
            <w:pPr>
              <w:pStyle w:val="Compact"/>
              <w:jc w:val="left"/>
            </w:pPr>
            <w:r>
              <w:t xml:space="preserve">Building Towards</w:t>
            </w:r>
          </w:p>
        </w:tc>
        <w:tc>
          <w:tcPr/>
          <w:p>
            <w:pPr>
              <w:pStyle w:val="Compact"/>
              <w:jc w:val="left"/>
            </w:pPr>
            <w:r>
              <w:t xml:space="preserve">5.NF.B.7.a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Divide a unit fraction by a whole number, in context,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Dividamos una fracción unitaria entre un número entero.</w:t>
      </w:r>
    </w:p>
    <w:bookmarkEnd w:id="25"/>
    <w:bookmarkStart w:id="26" w:name="lesson-purpose"/>
    <w:p>
      <w:pPr>
        <w:pStyle w:val="Heading3"/>
      </w:pPr>
      <w:r>
        <w:t xml:space="preserve">Lesson Purpose</w:t>
      </w:r>
    </w:p>
    <w:p>
      <w:pPr>
        <w:pStyle w:val="FirstParagraph"/>
      </w:pPr>
      <w:r>
        <w:t xml:space="preserve">The purpose of this lesson is for students to divide a unit fraction by a whole number.</w:t>
      </w:r>
    </w:p>
    <w:p>
      <w:pPr>
        <w:pStyle w:val="BodyText"/>
      </w:pPr>
      <w:r>
        <w:t xml:space="preserve">The purpose of this lesson is for students to determine the size of the piece when a unit fraction is divided into equally sized parts. Students revisit the context of a pan of macaroni and cheese from earlier lessons when they multiplied unit fractions by unit fractions. The familiar context can help students make connections between multiplication and division. Students should be encouraged to solve the problems in a way that makes sense to them. The relationship between multiplication and division is meant to be exploratory. In later lessons, students will formalize this relationship.</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1)</w:t>
      </w:r>
    </w:p>
    <w:bookmarkEnd w:id="31"/>
    <w:bookmarkStart w:id="32" w:name="instructional-routines"/>
    <w:p>
      <w:pPr>
        <w:pStyle w:val="Heading3"/>
      </w:pPr>
      <w:r>
        <w:t xml:space="preserve">Instructional Routines</w:t>
      </w:r>
    </w:p>
    <w:p>
      <w:pPr>
        <w:pStyle w:val="FirstParagraph"/>
      </w:pPr>
      <w:r>
        <w:t xml:space="preserve">MLR7 Compare and Connect (Activity 1), Number Talk (Warm-up)</w:t>
      </w:r>
    </w:p>
    <w:bookmarkEnd w:id="32"/>
    <w:bookmarkStart w:id="33"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3"/>
    <w:bookmarkStart w:id="34" w:name="teacher-reflection-question"/>
    <w:p>
      <w:pPr>
        <w:pStyle w:val="Heading3"/>
      </w:pPr>
      <w:r>
        <w:t xml:space="preserve">Teacher Reflection Question</w:t>
      </w:r>
    </w:p>
    <w:p>
      <w:pPr>
        <w:pStyle w:val="FirstParagraph"/>
      </w:pPr>
      <w:r>
        <w:t xml:space="preserve">How did the student work you selected impact the direction of the discussion? What student work might you pick next time if you taught the lesson again?</w:t>
      </w:r>
    </w:p>
    <w:p>
      <w:r>
        <w:pict>
          <v:rect style="width:0;height:1.5pt" o:hralign="center" o:hrstd="t" o:hr="t"/>
        </w:pict>
      </w:r>
    </w:p>
    <w:bookmarkEnd w:id="34"/>
    <w:bookmarkStart w:id="38"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36"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37"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Comparte macarrones con queso</w:t>
      </w:r>
    </w:p>
    <w:bookmarkEnd w:id="38"/>
    <w:bookmarkStart w:id="39"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5.NF.B.7.a</w:t>
            </w:r>
          </w:p>
        </w:tc>
      </w:tr>
    </w:tbl>
    <w:bookmarkEnd w:id="39"/>
    <w:bookmarkStart w:id="40" w:name="student-facing-task-statement"/>
    <w:p>
      <w:pPr>
        <w:pStyle w:val="Heading3"/>
      </w:pPr>
      <w:r>
        <w:t xml:space="preserve">Student-facing Task Statement</w:t>
      </w:r>
    </w:p>
    <w:p>
      <w:pPr>
        <w:numPr>
          <w:ilvl w:val="0"/>
          <w:numId w:val="1004"/>
        </w:numPr>
        <w:pStyle w:val="Compact"/>
      </w:pPr>
      <w:r>
        <w:t xml:space="preserve">6 personas comparten equitativamente </w:t>
      </w:r>
      <m:oMath>
        <m:f>
          <m:fPr>
            <m:type m:val="bar"/>
          </m:fPr>
          <m:num>
            <m:r>
              <m:t>1</m:t>
            </m:r>
          </m:num>
          <m:den>
            <m:r>
              <m:t>2</m:t>
            </m:r>
          </m:den>
        </m:f>
      </m:oMath>
      <w:r>
        <w:t xml:space="preserve"> bandeja refractaria de macarrones con queso.</w:t>
      </w:r>
    </w:p>
    <w:p>
      <w:pPr>
        <w:numPr>
          <w:ilvl w:val="1"/>
          <w:numId w:val="1005"/>
        </w:numPr>
        <w:pStyle w:val="Compact"/>
      </w:pPr>
      <w:r>
        <w:t xml:space="preserve">Dibuja un diagrama que represente la situación.</w:t>
      </w:r>
    </w:p>
    <w:p>
      <w:pPr>
        <w:numPr>
          <w:ilvl w:val="1"/>
          <w:numId w:val="1005"/>
        </w:numPr>
        <w:pStyle w:val="Compact"/>
      </w:pPr>
      <w:r>
        <w:t xml:space="preserve">Escribe una expresión de división que represente la situación.</w:t>
      </w:r>
    </w:p>
    <w:p>
      <w:pPr>
        <w:numPr>
          <w:ilvl w:val="1"/>
          <w:numId w:val="1005"/>
        </w:numPr>
        <w:pStyle w:val="Compact"/>
      </w:pPr>
      <w:r>
        <w:t xml:space="preserve">¿Cuánto de la bandeja completa recibe cada persona?</w:t>
      </w:r>
    </w:p>
    <w:bookmarkEnd w:id="40"/>
    <w:bookmarkStart w:id="41" w:name="student-responses"/>
    <w:p>
      <w:pPr>
        <w:pStyle w:val="Heading3"/>
      </w:pPr>
      <w:r>
        <w:t xml:space="preserve">Student Responses</w:t>
      </w:r>
    </w:p>
    <w:p>
      <w:pPr>
        <w:numPr>
          <w:ilvl w:val="0"/>
          <w:numId w:val="1006"/>
        </w:numPr>
        <w:pStyle w:val="Compact"/>
      </w:pPr>
    </w:p>
    <w:p>
      <w:pPr>
        <w:numPr>
          <w:ilvl w:val="1"/>
          <w:numId w:val="1007"/>
        </w:numPr>
        <w:pStyle w:val="Compact"/>
      </w:pPr>
      <w:r>
        <w:t xml:space="preserve">Sample responses: Students may draw a diagram that shows</w:t>
      </w:r>
      <w:r>
        <w:t xml:space="preserve"> </w:t>
      </w:r>
      <m:oMath>
        <m:f>
          <m:fPr>
            <m:type m:val="bar"/>
          </m:fPr>
          <m:num>
            <m:r>
              <m:t>1</m:t>
            </m:r>
          </m:num>
          <m:den>
            <m:r>
              <m:t>2</m:t>
            </m:r>
          </m:den>
        </m:f>
      </m:oMath>
      <w:r>
        <w:t xml:space="preserve"> </w:t>
      </w:r>
      <w:r>
        <w:t xml:space="preserve">being divided into 6 equal pieces.</w:t>
      </w:r>
    </w:p>
    <w:p>
      <w:pPr>
        <w:numPr>
          <w:ilvl w:val="1"/>
          <w:numId w:val="1007"/>
        </w:numPr>
        <w:pStyle w:val="Compact"/>
      </w:pPr>
      <m:oMath>
        <m:f>
          <m:fPr>
            <m:type m:val="bar"/>
          </m:fPr>
          <m:num>
            <m:r>
              <m:t>1</m:t>
            </m:r>
          </m:num>
          <m:den>
            <m:r>
              <m:t>2</m:t>
            </m:r>
          </m:den>
        </m:f>
        <m:r>
          <m:rPr>
            <m:sty m:val="p"/>
          </m:rPr>
          <m:t>÷</m:t>
        </m:r>
        <m:r>
          <m:t>6</m:t>
        </m:r>
      </m:oMath>
    </w:p>
    <w:p>
      <w:pPr>
        <w:numPr>
          <w:ilvl w:val="1"/>
          <w:numId w:val="1007"/>
        </w:numPr>
        <w:pStyle w:val="Compact"/>
      </w:pPr>
      <m:oMath>
        <m:f>
          <m:fPr>
            <m:type m:val="bar"/>
          </m:fPr>
          <m:num>
            <m:r>
              <m:t>1</m:t>
            </m:r>
          </m:num>
          <m:den>
            <m:r>
              <m:t>12</m:t>
            </m:r>
          </m:den>
        </m:f>
      </m:oMath>
    </w:p>
    <w:bookmarkEnd w:id="41"/>
    <w:bookmarkEnd w:id="4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svg" /><Relationship Type="http://schemas.openxmlformats.org/officeDocument/2006/relationships/image" Id="rId35" Target="media/rId35.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2022-12-15T00:53:07Z</dcterms:created>
  <dcterms:modified xsi:type="dcterms:W3CDTF">2022-12-15T00:53:07Z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hVMCC+3WUr+IJVgFMuQb2fvMqYlKp1NlBNhUc4/JfZGhV0dSgV6q4k3B+xtjgDexwiTQD14tDn6BUrED+8Z+zA==</vt:lpwstr>
  </property>
</Properties>
</file>