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f4c0fc699c2b8ecee8744df4788abbeb8ed5d12"/>
    <w:p>
      <w:pPr>
        <w:pStyle w:val="Heading1"/>
      </w:pPr>
      <w:r>
        <w:t xml:space="preserve">Lesson 14: Ways to Represent Multiplication of Teen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representations of multiplication (base-ten blocks and area diagrams) where one factor is a teen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some ways to represent the multiplication of teen numbers.</w:t>
      </w:r>
    </w:p>
    <w:bookmarkEnd w:id="25"/>
    <w:bookmarkStart w:id="26" w:name="lesson-purpose"/>
    <w:p>
      <w:pPr>
        <w:pStyle w:val="Heading3"/>
      </w:pPr>
      <w:r>
        <w:t xml:space="preserve">Lesson Purpose</w:t>
      </w:r>
    </w:p>
    <w:p>
      <w:pPr>
        <w:pStyle w:val="FirstParagraph"/>
      </w:pPr>
      <w:r>
        <w:t xml:space="preserve">The purpose of this lesson is for students to make sense of representations of the multiplication of teen numbers.</w:t>
      </w:r>
    </w:p>
    <w:p>
      <w:pPr>
        <w:pStyle w:val="BodyText"/>
      </w:pPr>
      <w:r>
        <w:t xml:space="preserve">The work of this lesson connects to previous work because students have solved problems involving multiplication of teen numbers in ways that make sense to them. In the previous section they also used the distributive property to find products of single-digit factors using facts they know. In this lesson, students consider and connect different representations of a strategy used in the previous section that can also be used to multiply a teen number. This will be helpful in the next lesson when students solve these types of problems and choose how to represent the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their previous work with area diagrams support students in their work today with multiplying teen numbers?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Multiply and Explain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4"/>
    <w:bookmarkStart w:id="48" w:name="student-facing-task-statement"/>
    <w:p>
      <w:pPr>
        <w:pStyle w:val="Heading3"/>
      </w:pPr>
      <w:r>
        <w:t xml:space="preserve">Student-facing Task Statement</w:t>
      </w:r>
    </w:p>
    <w:p>
      <w:pPr>
        <w:pStyle w:val="FirstParagraph"/>
      </w:pPr>
      <w:r>
        <w:t xml:space="preserve">Find the value of</w:t>
      </w:r>
      <w:r>
        <w:t xml:space="preserve"> </w:t>
      </w:r>
      <m:oMath>
        <m:r>
          <m:t>5</m:t>
        </m:r>
        <m:r>
          <m:rPr>
            <m:sty m:val="p"/>
          </m:rPr>
          <m:t>×</m:t>
        </m:r>
        <m:r>
          <m:t>15</m:t>
        </m:r>
      </m:oMath>
      <w:r>
        <w:t xml:space="preserve"> </w:t>
      </w:r>
      <w:r>
        <w:t xml:space="preserve">and explain how it’s represented in the diagram.</w:t>
      </w:r>
    </w:p>
    <w:p>
      <w:pPr>
        <w:pStyle w:val="BodyText"/>
      </w:pPr>
      <w:r>
        <w:drawing>
          <wp:inline>
            <wp:extent cx="1485900" cy="697241"/>
            <wp:effectExtent b="0" l="0" r="0" t="0"/>
            <wp:docPr descr="Area diagram." title="" id="46" name="Picture"/>
            <a:graphic>
              <a:graphicData uri="http://schemas.openxmlformats.org/drawingml/2006/picture">
                <pic:pic>
                  <pic:nvPicPr>
                    <pic:cNvPr descr="/app/tmp/embedder-1671013046.2415843.png" id="47" name="Picture"/>
                    <pic:cNvPicPr>
                      <a:picLocks noChangeArrowheads="1" noChangeAspect="1"/>
                    </pic:cNvPicPr>
                  </pic:nvPicPr>
                  <pic:blipFill>
                    <a:blip r:embed="rId45"/>
                    <a:stretch>
                      <a:fillRect/>
                    </a:stretch>
                  </pic:blipFill>
                  <pic:spPr bwMode="auto">
                    <a:xfrm>
                      <a:off x="0" y="0"/>
                      <a:ext cx="1485900" cy="697241"/>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75. Sample response: I can see</w:t>
      </w:r>
      <w:r>
        <w:t xml:space="preserve"> </w:t>
      </w:r>
      <m:oMath>
        <m:r>
          <m:t>5</m:t>
        </m:r>
        <m:r>
          <m:rPr>
            <m:sty m:val="p"/>
          </m:rPr>
          <m:t>×</m:t>
        </m:r>
        <m:r>
          <m:t>10</m:t>
        </m:r>
      </m:oMath>
      <w:r>
        <w:t xml:space="preserve"> </w:t>
      </w:r>
      <w:r>
        <w:t xml:space="preserve">in the large part of the rectangle and</w:t>
      </w:r>
      <w:r>
        <w:t xml:space="preserve"> </w:t>
      </w:r>
      <m:oMath>
        <m:r>
          <m:t>5</m:t>
        </m:r>
        <m:r>
          <m:rPr>
            <m:sty m:val="p"/>
          </m:rPr>
          <m:t>×</m:t>
        </m:r>
        <m:r>
          <m:t>5</m:t>
        </m:r>
      </m:oMath>
      <w:r>
        <w:t xml:space="preserve"> </w:t>
      </w:r>
      <w:r>
        <w:t xml:space="preserve">in the smaller part. If we add those parts of the rectangle, we get the product of</w:t>
      </w:r>
      <w:r>
        <w:t xml:space="preserve"> </w:t>
      </w:r>
      <m:oMath>
        <m:r>
          <m:t>5</m:t>
        </m:r>
        <m:r>
          <m:rPr>
            <m:sty m:val="p"/>
          </m:rPr>
          <m:t>×</m:t>
        </m:r>
        <m:r>
          <m:t>15</m:t>
        </m:r>
      </m:oMath>
      <w:r>
        <w:t xml:space="preserve">, which is 75.</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2022-12-14T10:17:27Z</dcterms:created>
  <dcterms:modified xsi:type="dcterms:W3CDTF">2022-12-14T10:17:27Z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zbLi/ypzO3zqKPeO4MQur/VssYHmCl9HTO1bma8UwbPptqemRvvDIS/MVJCxoALHzITIB/KAAlzJZ77p2xvC7g==</vt:lpwstr>
  </property>
</Properties>
</file>