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7-equivalent-fractions"/>
    <w:p>
      <w:pPr>
        <w:pStyle w:val="Heading1"/>
      </w:pPr>
      <w:r>
        <w:t xml:space="preserve">Lesson 7: Equivalent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3.NF.A.3.b</w:t>
            </w:r>
          </w:p>
        </w:tc>
      </w:tr>
      <w:tr>
        <w:tc>
          <w:tcPr/>
          <w:p>
            <w:pPr>
              <w:pStyle w:val="Compact"/>
              <w:jc w:val="left"/>
            </w:pPr>
            <w:r>
              <w:t xml:space="preserve">Addressing</w:t>
            </w:r>
          </w:p>
        </w:tc>
        <w:tc>
          <w:tcPr/>
          <w:p>
            <w:pPr>
              <w:pStyle w:val="Compact"/>
              <w:jc w:val="left"/>
            </w:pPr>
            <w:r>
              <w:t xml:space="preserve">4.NF.A.1</w:t>
            </w:r>
          </w:p>
        </w:tc>
      </w:tr>
      <w:tr>
        <w:tc>
          <w:tcPr/>
          <w:p>
            <w:pPr>
              <w:pStyle w:val="Compact"/>
              <w:jc w:val="left"/>
            </w:pPr>
            <w:r>
              <w:t xml:space="preserve">Building Towards</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Generate equivalent fractions using a representation that makes sense to students.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some equivalent fractions.</w:t>
      </w:r>
    </w:p>
    <w:bookmarkEnd w:id="25"/>
    <w:bookmarkStart w:id="26" w:name="lesson-purpose"/>
    <w:p>
      <w:pPr>
        <w:pStyle w:val="Heading3"/>
      </w:pPr>
      <w:r>
        <w:t xml:space="preserve">Lesson Purpose</w:t>
      </w:r>
    </w:p>
    <w:p>
      <w:pPr>
        <w:pStyle w:val="FirstParagraph"/>
      </w:pPr>
      <w:r>
        <w:t xml:space="preserve">The purpose of this lesson is for students to generate equivalent fractions using a representation that makes sense to them.</w:t>
      </w:r>
    </w:p>
    <w:p>
      <w:pPr>
        <w:pStyle w:val="BodyText"/>
      </w:pPr>
      <w:r>
        <w:t xml:space="preserve">In grade 3, students learned to recognize and generate simple equivalent fractions. In earlier lessons, they reasoned about the size of fractions and identified some equivalent fractions. Throughout those experiences, they used fraction strips, tape diagrams, number lines, and benchmark fractions to support their reasoning.</w:t>
      </w:r>
    </w:p>
    <w:p>
      <w:pPr>
        <w:pStyle w:val="BodyText"/>
      </w:pPr>
      <w:r>
        <w:t xml:space="preserve">In this lesson, students continue to rely on different representations and reasoning strategies to generate equivalent fractions (including those with denominators 5, 10, and 12, and fractions greater than 1). They also hone their ability to communicate their reasoning clearly.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MLR7 Compare and Connect (Activity 2), True or False (Warm-up)</w:t>
      </w:r>
    </w:p>
    <w:bookmarkEnd w:id="32"/>
    <w:bookmarkStart w:id="33" w:name="materials-to-gather"/>
    <w:p>
      <w:pPr>
        <w:pStyle w:val="Heading3"/>
      </w:pPr>
      <w:r>
        <w:t xml:space="preserve">Materials to Gather</w:t>
      </w:r>
    </w:p>
    <w:p>
      <w:pPr>
        <w:numPr>
          <w:ilvl w:val="0"/>
          <w:numId w:val="1004"/>
        </w:numPr>
        <w:pStyle w:val="Compact"/>
      </w:pPr>
      <w:r>
        <w:t xml:space="preserve">Tools for creating a visual display: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Whose ideas and voices were heard, valued, and accepted today? How can you adjust the group structure tomorrow to ensure each student’s ideas are a part of the collective learning?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Two Equivalent Fractions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0"/>
    <w:bookmarkStart w:id="41" w:name="student-facing-task-statement"/>
    <w:p>
      <w:pPr>
        <w:pStyle w:val="Heading3"/>
      </w:pPr>
      <w:r>
        <w:t xml:space="preserve">Student-facing Task Statement</w:t>
      </w:r>
    </w:p>
    <w:p>
      <w:pPr>
        <w:pStyle w:val="FirstParagraph"/>
      </w:pPr>
      <w:r>
        <w:t xml:space="preserve">Name two fractions that are equivalent to</w:t>
      </w:r>
      <w:r>
        <w:t xml:space="preserve"> </w:t>
      </w:r>
      <m:oMath>
        <m:f>
          <m:fPr>
            <m:type m:val="bar"/>
          </m:fPr>
          <m:num>
            <m:r>
              <m:t>5</m:t>
            </m:r>
          </m:num>
          <m:den>
            <m:r>
              <m:t>3</m:t>
            </m:r>
          </m:den>
        </m:f>
      </m:oMath>
      <w:r>
        <w:t xml:space="preserve">. Explain or show your reasoning.</w:t>
      </w:r>
    </w:p>
    <w:bookmarkEnd w:id="41"/>
    <w:bookmarkStart w:id="42" w:name="student-responses"/>
    <w:p>
      <w:pPr>
        <w:pStyle w:val="Heading3"/>
      </w:pPr>
      <w:r>
        <w:t xml:space="preserve">Student Responses</w:t>
      </w:r>
    </w:p>
    <w:p>
      <w:pPr>
        <w:pStyle w:val="FirstParagraph"/>
      </w:pPr>
      <w:r>
        <w:t xml:space="preserve">Sample response:</w:t>
      </w:r>
      <w:r>
        <w:t xml:space="preserve"> </w:t>
      </w:r>
      <m:oMath>
        <m:f>
          <m:fPr>
            <m:type m:val="bar"/>
          </m:fPr>
          <m:num>
            <m:r>
              <m:t>10</m:t>
            </m:r>
          </m:num>
          <m:den>
            <m:r>
              <m:t>6</m:t>
            </m:r>
          </m:den>
        </m:f>
      </m:oMath>
      <w:r>
        <w:t xml:space="preserve"> </w:t>
      </w:r>
      <w:r>
        <w:t xml:space="preserve">and</w:t>
      </w:r>
      <w:r>
        <w:t xml:space="preserve"> </w:t>
      </w:r>
      <m:oMath>
        <m:f>
          <m:fPr>
            <m:type m:val="bar"/>
          </m:fPr>
          <m:num>
            <m:r>
              <m:t>20</m:t>
            </m:r>
          </m:num>
          <m:den>
            <m:r>
              <m:t>12</m:t>
            </m:r>
          </m:den>
        </m:f>
      </m:oMath>
      <w:r>
        <w:t xml:space="preserve">. Sample reasoning: I drew a tape diagram to show 5 thirds. Then:</w:t>
      </w:r>
    </w:p>
    <w:p>
      <w:pPr>
        <w:pStyle w:val="BodyText"/>
      </w:pPr>
      <w:r>
        <w:t xml:space="preserve">I partitioned each 1 third into 2 parts, so in 5 thirds there are 10 parts. Each part is 1 sixth, so in 5 thirds there are 10 sixths.</w:t>
      </w:r>
    </w:p>
    <w:p>
      <w:pPr>
        <w:pStyle w:val="BodyText"/>
      </w:pPr>
      <w:r>
        <w:t xml:space="preserve">I partitioned each 1 sixth into 2 parts again, so now there are 20 parts. Each part is 1 twelfth, so in 10 sixths there are 20 twelfths.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2022-12-14T13:09:21Z</dcterms:created>
  <dcterms:modified xsi:type="dcterms:W3CDTF">2022-12-14T13:09:21Z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N718QuYtuuCiYlPa1bLYMNfqFE7pwsCuLhZ6hqMSbWoTuTkbiqVCvWeG8MSE1vRY7gJtyP1InbWrnJ/21x1uNw==</vt:lpwstr>
  </property>
</Properties>
</file>