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1-multipliquemos-más-decimales"/>
    <w:p>
      <w:pPr>
        <w:pStyle w:val="Heading2"/>
      </w:pPr>
      <w:r>
        <w:t xml:space="preserve">Lección 21: Multipliquemos más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decimales.</w:t>
      </w:r>
    </w:p>
    <w:bookmarkStart w:id="24" w:name="Xc99714bbf6ab4718c147aefb9f5456e5cf66340"/>
    <w:p>
      <w:pPr>
        <w:pStyle w:val="Heading3"/>
      </w:pPr>
      <w:r>
        <w:t xml:space="preserve">Calentamiento: Exploración de estimación: Central Park</w:t>
      </w:r>
    </w:p>
    <w:p>
      <w:pPr>
        <w:pStyle w:val="FirstParagraph"/>
      </w:pPr>
      <w:r>
        <w:t xml:space="preserve">Central Park es un parque grande en Manhattan. Tiene aproximadamente 3.85 kilómetros de largo y 0.79 kilómetros de ancho. ¿Cuál es el área de Central Park?</w:t>
      </w:r>
    </w:p>
    <w:p>
      <w:pPr>
        <w:pStyle w:val="BodyText"/>
      </w:pPr>
      <w:r>
        <w:t xml:space="preserve">Escribe una estimación que sea:</w:t>
      </w:r>
    </w:p>
    <w:p>
      <w:pPr>
        <w:pStyle w:val="BodyText"/>
      </w:pPr>
      <w:r>
        <w:drawing>
          <wp:inline>
            <wp:extent cx="3467100" cy="11391900"/>
            <wp:effectExtent b="0" l="0" r="0" t="0"/>
            <wp:docPr descr="Image of map of Central Park." title="" id="22" name="Picture"/>
            <a:graphic>
              <a:graphicData uri="http://schemas.openxmlformats.org/drawingml/2006/picture">
                <pic:pic>
                  <pic:nvPicPr>
                    <pic:cNvPr descr="/app/tmp/embedder-1671065876.6175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39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multipliquemos-más-decimales"/>
    <w:p>
      <w:pPr>
        <w:pStyle w:val="Heading3"/>
      </w:pPr>
      <w:r>
        <w:t xml:space="preserve">21.1: Multipliquemos más decimales</w:t>
      </w:r>
    </w:p>
    <w:p>
      <w:pPr>
        <w:numPr>
          <w:ilvl w:val="0"/>
          <w:numId w:val="1002"/>
        </w:numPr>
      </w:pPr>
      <w:r>
        <w:t xml:space="preserve">En cada caso, explica o muestra por qué las dos expresiones son equivalentes.</w:t>
      </w:r>
    </w:p>
    <w:p>
      <w:pPr>
        <w:numPr>
          <w:ilvl w:val="1"/>
          <w:numId w:val="1003"/>
        </w:numPr>
        <w:pStyle w:val="Compact"/>
      </w:pPr>
      <m:oMath>
        <m:r>
          <m:t>7.2</m:t>
        </m:r>
        <m:r>
          <m:rPr>
            <m:sty m:val="p"/>
          </m:rPr>
          <m:t>×</m:t>
        </m:r>
        <m:r>
          <m:t>5.3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72</m:t>
            </m:r>
            <m:r>
              <m:rPr>
                <m:sty m:val="p"/>
              </m:rPr>
              <m:t>×</m:t>
            </m:r>
            <m:r>
              <m:t>53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3"/>
        </w:numPr>
        <w:pStyle w:val="Compact"/>
      </w:pPr>
      <m:oMath>
        <m:r>
          <m:t>6.5</m:t>
        </m:r>
        <m:r>
          <m:rPr>
            <m:sty m:val="p"/>
          </m:rPr>
          <m:t>×</m:t>
        </m:r>
        <m:r>
          <m:t>2.8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65</m:t>
            </m:r>
            <m:r>
              <m:rPr>
                <m:sty m:val="p"/>
              </m:rPr>
              <m:t>×</m:t>
            </m:r>
            <m:r>
              <m:t>28</m:t>
            </m:r>
          </m:e>
        </m:d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3"/>
        </w:numPr>
        <w:pStyle w:val="Compact"/>
      </w:pPr>
      <m:oMath>
        <m:r>
          <m:t>31</m:t>
        </m:r>
        <m:r>
          <m:rPr>
            <m:sty m:val="p"/>
          </m:rPr>
          <m:t>×</m:t>
        </m:r>
        <m:r>
          <m:t>0.44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31</m:t>
            </m:r>
            <m:r>
              <m:rPr>
                <m:sty m:val="p"/>
              </m:rPr>
              <m:t>×</m:t>
            </m:r>
            <m:r>
              <m:t>44</m:t>
            </m:r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Encuentra el valor de los productos del problema anterior.</w:t>
      </w:r>
    </w:p>
    <w:bookmarkEnd w:id="25"/>
    <w:bookmarkStart w:id="26" w:name="escoge-tu-estrategia"/>
    <w:p>
      <w:pPr>
        <w:pStyle w:val="Heading3"/>
      </w:pPr>
      <w:r>
        <w:t xml:space="preserve">21.2: Escoge tu estrategia</w:t>
      </w:r>
    </w:p>
    <w:p>
      <w:pPr>
        <w:pStyle w:val="FirstParagraph"/>
      </w:pPr>
      <w:r>
        <w:t xml:space="preserve">Encuentra el valor de cada producto.</w:t>
      </w:r>
    </w:p>
    <w:p>
      <w:pPr>
        <w:numPr>
          <w:ilvl w:val="0"/>
          <w:numId w:val="1004"/>
        </w:numPr>
        <w:pStyle w:val="Compact"/>
      </w:pPr>
      <m:oMath>
        <m:r>
          <m:t>7.3</m:t>
        </m:r>
        <m:r>
          <m:rPr>
            <m:sty m:val="p"/>
          </m:rPr>
          <m:t>×</m:t>
        </m:r>
        <m:r>
          <m:t>4.2</m:t>
        </m:r>
      </m:oMath>
    </w:p>
    <w:p>
      <w:pPr>
        <w:numPr>
          <w:ilvl w:val="0"/>
          <w:numId w:val="1004"/>
        </w:numPr>
        <w:pStyle w:val="Compact"/>
      </w:pPr>
      <m:oMath>
        <m:r>
          <m:t>38</m:t>
        </m:r>
        <m:r>
          <m:rPr>
            <m:sty m:val="p"/>
          </m:rPr>
          <m:t>×</m:t>
        </m:r>
        <m:r>
          <m:t>0.55</m:t>
        </m:r>
      </m:oMath>
    </w:p>
    <w:p>
      <w:pPr>
        <w:numPr>
          <w:ilvl w:val="0"/>
          <w:numId w:val="1004"/>
        </w:numPr>
        <w:pStyle w:val="Compact"/>
      </w:pPr>
      <m:oMath>
        <m:r>
          <m:t>285</m:t>
        </m:r>
        <m:r>
          <m:rPr>
            <m:sty m:val="p"/>
          </m:rPr>
          <m:t>×</m:t>
        </m:r>
        <m:r>
          <m:t>0.17</m:t>
        </m:r>
      </m:oMath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usar relaciones de valor posicional para multiplicar un número entero por un número decimal. Por ejemplo,</w:t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r>
          <m:t>0.14</m:t>
        </m:r>
        <m:r>
          <m:rPr>
            <m:sty m:val="p"/>
          </m:rPr>
          <m:t>=</m:t>
        </m:r>
        <m:r>
          <m:t>0.84</m:t>
        </m:r>
      </m:oMath>
    </w:p>
    <w:p>
      <w:pPr>
        <w:pStyle w:val="BodyText"/>
      </w:pPr>
      <w:r>
        <w:t xml:space="preserve">porque 6 grupos de 14 centésimas es </w:t>
      </w:r>
      <m:oMath>
        <m:r>
          <m:t>6</m:t>
        </m:r>
        <m:r>
          <m:rPr>
            <m:sty m:val="p"/>
          </m:rPr>
          <m:t>×</m:t>
        </m:r>
        <m:r>
          <m:t>14</m:t>
        </m:r>
      </m:oMath>
      <w:r>
        <w:t xml:space="preserve"> centésimas, es decir, 84 centésimas.</w:t>
      </w:r>
    </w:p>
    <w:p>
      <w:pPr>
        <w:pStyle w:val="BodyText"/>
      </w:pPr>
      <w:r>
        <w:t xml:space="preserve">También encontramos productos como </w:t>
      </w:r>
      <m:oMath>
        <m:r>
          <m:t>1.7</m:t>
        </m:r>
        <m:r>
          <m:rPr>
            <m:sty m:val="p"/>
          </m:rPr>
          <m:t>×</m:t>
        </m:r>
        <m:r>
          <m:t>0.3</m:t>
        </m:r>
      </m:oMath>
      <w:r>
        <w:t xml:space="preserve">. Podemos usar un diagrama para ver que esto es </w:t>
      </w:r>
      <m:oMath>
        <m:r>
          <m:t>17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centésimas, es decir, </w:t>
      </w:r>
      <m:oMath>
        <m:r>
          <m:t>0.51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15469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65876.711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2022-12-15T00:57:57Z</dcterms:created>
  <dcterms:modified xsi:type="dcterms:W3CDTF">2022-12-15T00:57:57Z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OYS3NhmidULfb5QGPzbWyY89E01KlN5Trdxa5hQ0oJAdgPJvdSqNHxqLNxhuUvqhttVqy14eg0goVr+WYDujzQ==</vt:lpwstr>
  </property>
</Properties>
</file>