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7.png" ContentType="image/png"/>
  <Override PartName="/word/media/rId21.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43db0f6e9ddf576ca3ce19a4328fadd8bb0ce2f"/>
    <w:p>
      <w:pPr>
        <w:pStyle w:val="Heading2"/>
      </w:pPr>
      <w:r>
        <w:t xml:space="preserve">Lección 24: Analicemos qué tan razonables son las soluciones</w:t>
      </w:r>
    </w:p>
    <w:bookmarkEnd w:id="20"/>
    <w:p>
      <w:pPr>
        <w:numPr>
          <w:ilvl w:val="0"/>
          <w:numId w:val="1001"/>
        </w:numPr>
        <w:pStyle w:val="Compact"/>
      </w:pPr>
      <w:r>
        <w:t xml:space="preserve">Resolvamos problemas y evaluemos qué tan razonables son las soluciones.</w:t>
      </w:r>
    </w:p>
    <w:bookmarkStart w:id="24" w:name="Xf2fc318f9776090d76d9869fcdd9cda86947095"/>
    <w:p>
      <w:pPr>
        <w:pStyle w:val="Heading3"/>
      </w:pPr>
      <w:r>
        <w:t xml:space="preserve">Calentamiento: Observa y pregúntate: Lenguas nativas de los Estados Unidos</w:t>
      </w:r>
    </w:p>
    <w:p>
      <w:pPr>
        <w:pStyle w:val="FirstParagraph"/>
      </w:pPr>
      <w:r>
        <w:t xml:space="preserve">¿Qué observas y qué te preguntas?</w:t>
      </w:r>
    </w:p>
    <w:p>
      <w:pPr>
        <w:pStyle w:val="BodyText"/>
      </w:pPr>
      <w:r>
        <w:drawing>
          <wp:inline>
            <wp:extent cx="5943600" cy="4399979"/>
            <wp:effectExtent b="0" l="0" r="0" t="0"/>
            <wp:docPr descr="Horizontal bar graph." title="" id="22" name="Picture"/>
            <a:graphic>
              <a:graphicData uri="http://schemas.openxmlformats.org/drawingml/2006/picture">
                <pic:pic>
                  <pic:nvPicPr>
                    <pic:cNvPr descr="/app/tmp/embedder-1671064216.5521753.png" id="23" name="Picture"/>
                    <pic:cNvPicPr>
                      <a:picLocks noChangeArrowheads="1" noChangeAspect="1"/>
                    </pic:cNvPicPr>
                  </pic:nvPicPr>
                  <pic:blipFill>
                    <a:blip r:embed="rId21"/>
                    <a:stretch>
                      <a:fillRect/>
                    </a:stretch>
                  </pic:blipFill>
                  <pic:spPr bwMode="auto">
                    <a:xfrm>
                      <a:off x="0" y="0"/>
                      <a:ext cx="5943600" cy="4399979"/>
                    </a:xfrm>
                    <a:prstGeom prst="rect">
                      <a:avLst/>
                    </a:prstGeom>
                    <a:noFill/>
                    <a:ln w="9525">
                      <a:noFill/>
                      <a:headEnd/>
                      <a:tailEnd/>
                    </a:ln>
                  </pic:spPr>
                </pic:pic>
              </a:graphicData>
            </a:graphic>
          </wp:inline>
        </w:drawing>
      </w:r>
    </w:p>
    <w:bookmarkEnd w:id="24"/>
    <w:bookmarkStart w:id="25" w:name="hablas-navajo"/>
    <w:p>
      <w:pPr>
        <w:pStyle w:val="Heading3"/>
      </w:pPr>
      <w:r>
        <w:t xml:space="preserve">24.1: ¿Hablas navajo?</w:t>
      </w:r>
    </w:p>
    <w:p>
      <w:pPr>
        <w:numPr>
          <w:ilvl w:val="0"/>
          <w:numId w:val="1002"/>
        </w:numPr>
      </w:pPr>
      <w:r>
        <w:t xml:space="preserve">En la lista de las diez lenguas nativas más habladas en los Estados Unidos, las que más se hablan son el navajo y el yupik.</w:t>
      </w:r>
    </w:p>
    <w:p>
      <w:pPr>
        <w:numPr>
          <w:ilvl w:val="1"/>
          <w:numId w:val="1003"/>
        </w:numPr>
      </w:pPr>
      <w:r>
        <w:t xml:space="preserve">¿Cuántas personas más hablan navajo que yupik? Muestra cómo razonaste.</w:t>
      </w:r>
    </w:p>
    <w:tbl>
      <w:tblPr>
        <w:tblStyle w:val="Table"/>
        <w:tblW w:type="auto" w:w="0"/>
        <w:tblLook w:firstRow="1" w:lastRow="0" w:firstColumn="0" w:lastColumn="0" w:noHBand="0" w:noVBand="0" w:val="0020"/>
      </w:tblPr>
      <w:tblGrid>
        <w:gridCol w:w="3960"/>
        <w:gridCol w:w="3960"/>
      </w:tblGrid>
      <w:tr>
        <w:trPr>
          <w:tblHeader w:val="true"/>
        </w:trPr>
        <w:tc>
          <w:tcPr/>
          <w:p>
            <w:pPr>
              <w:numPr>
                <w:ilvl w:val="1"/>
                <w:numId w:val="1000"/>
              </w:numPr>
              <w:pStyle w:val="Compact"/>
              <w:jc w:val="left"/>
            </w:pPr>
            <w:r>
              <w:t xml:space="preserve">lengua</w:t>
            </w:r>
          </w:p>
        </w:tc>
        <w:tc>
          <w:tcPr/>
          <w:p>
            <w:pPr>
              <w:numPr>
                <w:ilvl w:val="1"/>
                <w:numId w:val="1000"/>
              </w:numPr>
              <w:pStyle w:val="Compact"/>
              <w:jc w:val="left"/>
            </w:pPr>
            <w:r>
              <w:t xml:space="preserve">número de personas que lo hablan</w:t>
            </w:r>
          </w:p>
        </w:tc>
      </w:tr>
      <w:tr>
        <w:tc>
          <w:tcPr/>
          <w:p>
            <w:pPr>
              <w:numPr>
                <w:ilvl w:val="1"/>
                <w:numId w:val="1000"/>
              </w:numPr>
              <w:pStyle w:val="Compact"/>
              <w:jc w:val="left"/>
            </w:pPr>
            <w:r>
              <w:t xml:space="preserve">Navajo</w:t>
            </w:r>
          </w:p>
        </w:tc>
        <w:tc>
          <w:tcPr/>
          <w:p>
            <w:pPr>
              <w:numPr>
                <w:ilvl w:val="1"/>
                <w:numId w:val="1000"/>
              </w:numPr>
              <w:pStyle w:val="Compact"/>
              <w:jc w:val="left"/>
            </w:pPr>
            <w:r>
              <w:t xml:space="preserve">166,826</w:t>
            </w:r>
          </w:p>
        </w:tc>
      </w:tr>
      <w:tr>
        <w:tc>
          <w:tcPr/>
          <w:p>
            <w:pPr>
              <w:numPr>
                <w:ilvl w:val="1"/>
                <w:numId w:val="1000"/>
              </w:numPr>
              <w:pStyle w:val="Compact"/>
              <w:jc w:val="left"/>
            </w:pPr>
            <w:r>
              <w:t xml:space="preserve">Yupik</w:t>
            </w:r>
          </w:p>
        </w:tc>
        <w:tc>
          <w:tcPr/>
          <w:p>
            <w:pPr>
              <w:numPr>
                <w:ilvl w:val="1"/>
                <w:numId w:val="1000"/>
              </w:numPr>
              <w:pStyle w:val="Compact"/>
              <w:jc w:val="left"/>
            </w:pPr>
            <w:r>
              <w:t xml:space="preserve">19,750</w:t>
            </w:r>
          </w:p>
        </w:tc>
      </w:tr>
      <w:tr>
        <w:tc>
          <w:tcPr/>
          <w:p>
            <w:pPr>
              <w:numPr>
                <w:ilvl w:val="1"/>
                <w:numId w:val="1000"/>
              </w:numPr>
              <w:pStyle w:val="Compact"/>
              <w:jc w:val="left"/>
            </w:pPr>
            <w:r>
              <w:t xml:space="preserve">Dakota</w:t>
            </w:r>
          </w:p>
        </w:tc>
        <w:tc>
          <w:tcPr/>
          <w:p>
            <w:pPr>
              <w:numPr>
                <w:ilvl w:val="1"/>
                <w:numId w:val="1000"/>
              </w:numPr>
              <w:pStyle w:val="Compact"/>
              <w:jc w:val="left"/>
            </w:pPr>
            <w:r>
              <w:t xml:space="preserve">17,855</w:t>
            </w:r>
          </w:p>
        </w:tc>
      </w:tr>
      <w:tr>
        <w:tc>
          <w:tcPr/>
          <w:p>
            <w:pPr>
              <w:numPr>
                <w:ilvl w:val="1"/>
                <w:numId w:val="1000"/>
              </w:numPr>
              <w:pStyle w:val="Compact"/>
              <w:jc w:val="left"/>
            </w:pPr>
            <w:r>
              <w:t xml:space="preserve">Apache</w:t>
            </w:r>
          </w:p>
        </w:tc>
        <w:tc>
          <w:tcPr/>
          <w:p>
            <w:pPr>
              <w:numPr>
                <w:ilvl w:val="1"/>
                <w:numId w:val="1000"/>
              </w:numPr>
              <w:pStyle w:val="Compact"/>
              <w:jc w:val="left"/>
            </w:pPr>
            <w:r>
              <w:t xml:space="preserve">13,445</w:t>
            </w:r>
          </w:p>
        </w:tc>
      </w:tr>
      <w:tr>
        <w:tc>
          <w:tcPr/>
          <w:p>
            <w:pPr>
              <w:numPr>
                <w:ilvl w:val="1"/>
                <w:numId w:val="1000"/>
              </w:numPr>
              <w:pStyle w:val="Compact"/>
              <w:jc w:val="left"/>
            </w:pPr>
            <w:r>
              <w:t xml:space="preserve">Keres</w:t>
            </w:r>
          </w:p>
        </w:tc>
        <w:tc>
          <w:tcPr/>
          <w:p>
            <w:pPr>
              <w:numPr>
                <w:ilvl w:val="1"/>
                <w:numId w:val="1000"/>
              </w:numPr>
              <w:pStyle w:val="Compact"/>
              <w:jc w:val="left"/>
            </w:pPr>
            <w:r>
              <w:t xml:space="preserve">13,190</w:t>
            </w:r>
          </w:p>
        </w:tc>
      </w:tr>
      <w:tr>
        <w:tc>
          <w:tcPr/>
          <w:p>
            <w:pPr>
              <w:numPr>
                <w:ilvl w:val="1"/>
                <w:numId w:val="1000"/>
              </w:numPr>
              <w:pStyle w:val="Compact"/>
              <w:jc w:val="left"/>
            </w:pPr>
            <w:r>
              <w:t xml:space="preserve">Cherokee</w:t>
            </w:r>
          </w:p>
        </w:tc>
        <w:tc>
          <w:tcPr/>
          <w:p>
            <w:pPr>
              <w:numPr>
                <w:ilvl w:val="1"/>
                <w:numId w:val="1000"/>
              </w:numPr>
              <w:pStyle w:val="Compact"/>
              <w:jc w:val="left"/>
            </w:pPr>
            <w:r>
              <w:t xml:space="preserve">11,465</w:t>
            </w:r>
          </w:p>
        </w:tc>
      </w:tr>
      <w:tr>
        <w:tc>
          <w:tcPr/>
          <w:p>
            <w:pPr>
              <w:numPr>
                <w:ilvl w:val="1"/>
                <w:numId w:val="1000"/>
              </w:numPr>
              <w:pStyle w:val="Compact"/>
              <w:jc w:val="left"/>
            </w:pPr>
            <w:r>
              <w:t xml:space="preserve">Ojibwa</w:t>
            </w:r>
          </w:p>
        </w:tc>
        <w:tc>
          <w:tcPr/>
          <w:p>
            <w:pPr>
              <w:numPr>
                <w:ilvl w:val="1"/>
                <w:numId w:val="1000"/>
              </w:numPr>
              <w:pStyle w:val="Compact"/>
              <w:jc w:val="left"/>
            </w:pPr>
            <w:r>
              <w:t xml:space="preserve">9,735</w:t>
            </w:r>
          </w:p>
        </w:tc>
      </w:tr>
      <w:tr>
        <w:tc>
          <w:tcPr/>
          <w:p>
            <w:pPr>
              <w:numPr>
                <w:ilvl w:val="1"/>
                <w:numId w:val="1000"/>
              </w:numPr>
              <w:pStyle w:val="Compact"/>
              <w:jc w:val="left"/>
            </w:pPr>
            <w:r>
              <w:t xml:space="preserve">Choctaw</w:t>
            </w:r>
          </w:p>
        </w:tc>
        <w:tc>
          <w:tcPr/>
          <w:p>
            <w:pPr>
              <w:numPr>
                <w:ilvl w:val="1"/>
                <w:numId w:val="1000"/>
              </w:numPr>
              <w:pStyle w:val="Compact"/>
              <w:jc w:val="left"/>
            </w:pPr>
            <w:r>
              <w:t xml:space="preserve">9,635</w:t>
            </w:r>
          </w:p>
        </w:tc>
      </w:tr>
      <w:tr>
        <w:tc>
          <w:tcPr/>
          <w:p>
            <w:pPr>
              <w:numPr>
                <w:ilvl w:val="1"/>
                <w:numId w:val="1000"/>
              </w:numPr>
              <w:pStyle w:val="Compact"/>
              <w:jc w:val="left"/>
            </w:pPr>
            <w:r>
              <w:t xml:space="preserve">Zuni</w:t>
            </w:r>
          </w:p>
        </w:tc>
        <w:tc>
          <w:tcPr/>
          <w:p>
            <w:pPr>
              <w:numPr>
                <w:ilvl w:val="1"/>
                <w:numId w:val="1000"/>
              </w:numPr>
              <w:pStyle w:val="Compact"/>
              <w:jc w:val="left"/>
            </w:pPr>
            <w:r>
              <w:t xml:space="preserve">9,615</w:t>
            </w:r>
          </w:p>
        </w:tc>
      </w:tr>
      <w:tr>
        <w:tc>
          <w:tcPr/>
          <w:p>
            <w:pPr>
              <w:numPr>
                <w:ilvl w:val="1"/>
                <w:numId w:val="1000"/>
              </w:numPr>
              <w:pStyle w:val="Compact"/>
              <w:jc w:val="left"/>
            </w:pPr>
            <w:r>
              <w:t xml:space="preserve">Pima</w:t>
            </w:r>
          </w:p>
        </w:tc>
        <w:tc>
          <w:tcPr/>
          <w:p>
            <w:pPr>
              <w:numPr>
                <w:ilvl w:val="1"/>
                <w:numId w:val="1000"/>
              </w:numPr>
              <w:pStyle w:val="Compact"/>
              <w:jc w:val="left"/>
            </w:pPr>
            <w:r>
              <w:t xml:space="preserve">6,990</w:t>
            </w:r>
          </w:p>
        </w:tc>
      </w:tr>
    </w:tbl>
    <w:p>
      <w:pPr>
        <w:numPr>
          <w:ilvl w:val="1"/>
          <w:numId w:val="1003"/>
        </w:numPr>
        <w:pStyle w:val="Compact"/>
      </w:pPr>
      <w:r>
        <w:t xml:space="preserve">¿El número de personas que hablan navajo es aproximadamente cuántas veces el número de personas que hablan yupik? Muestra cómo razonaste.</w:t>
      </w:r>
    </w:p>
    <w:p>
      <w:pPr>
        <w:numPr>
          <w:ilvl w:val="0"/>
          <w:numId w:val="1002"/>
        </w:numPr>
      </w:pPr>
      <w:r>
        <w:t xml:space="preserve">El navajo, el apache y el cherokee se han usado en épocas de guerra para ayudar a los militares de los Estados Unidos a mantener seguras sus comunicaciones. Pues sus enemigos no pueden entenderlas.</w:t>
      </w:r>
    </w:p>
    <w:p>
      <w:pPr>
        <w:numPr>
          <w:ilvl w:val="1"/>
          <w:numId w:val="1004"/>
        </w:numPr>
        <w:pStyle w:val="Compact"/>
      </w:pPr>
      <w:r>
        <w:t xml:space="preserve">Basándote en estos datos, ¿cuántas personas podrían haber sido capaces de entender las comunicaciones? Muestra cómo razonaste.</w:t>
      </w:r>
    </w:p>
    <w:p>
      <w:pPr>
        <w:numPr>
          <w:ilvl w:val="1"/>
          <w:numId w:val="1004"/>
        </w:numPr>
        <w:pStyle w:val="Compact"/>
      </w:pPr>
      <w:r>
        <w:t xml:space="preserve">¿Cómo sabes que tu respuesta es razonable?</w:t>
      </w:r>
    </w:p>
    <w:p>
      <w:pPr>
        <w:numPr>
          <w:ilvl w:val="0"/>
          <w:numId w:val="1002"/>
        </w:numPr>
        <w:pStyle w:val="Compact"/>
      </w:pPr>
      <w:r>
        <w:t xml:space="preserve">¿Hay más personas que hablan navajo que el total de personas que hablan las otras nueve lenguas? Explica o muestra cómo lo sabes.</w:t>
      </w:r>
    </w:p>
    <w:bookmarkEnd w:id="25"/>
    <w:bookmarkStart w:id="26" w:name="X94c4cd854e7ef393cb709df5540a3d4ee14fe45"/>
    <w:p>
      <w:pPr>
        <w:pStyle w:val="Heading3"/>
      </w:pPr>
      <w:r>
        <w:t xml:space="preserve">24.2: Idiomas que se hablan en Filadelfia y Chicago</w:t>
      </w:r>
    </w:p>
    <w:p>
      <w:pPr>
        <w:pStyle w:val="FirstParagraph"/>
      </w:pPr>
      <w:r>
        <w:t xml:space="preserve">Filadelfia, el lugar donde nacieron los Estados Unidos, es una ciudad diversa y es el hogar de personas que tienen distintos orígenes.</w:t>
      </w:r>
    </w:p>
    <w:p>
      <w:pPr>
        <w:pStyle w:val="BodyText"/>
      </w:pPr>
      <w:r>
        <w:t xml:space="preserve">La tabla muestra datos del 2017 sobre algunos tipos de idiomas que se hablan en Filadelfia y el número de personas que habla cada uno.</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center"/>
            </w:pPr>
            <w:r>
              <w:t xml:space="preserve">idioma</w:t>
            </w:r>
          </w:p>
        </w:tc>
        <w:tc>
          <w:tcPr/>
          <w:p>
            <w:pPr>
              <w:pStyle w:val="Compact"/>
              <w:jc w:val="center"/>
            </w:pPr>
            <w:r>
              <w:t xml:space="preserve">número de personas que lo hablan en Filadelfia</w:t>
            </w:r>
          </w:p>
        </w:tc>
      </w:tr>
      <w:tr>
        <w:tc>
          <w:tcPr/>
          <w:p>
            <w:pPr>
              <w:pStyle w:val="Compact"/>
              <w:jc w:val="left"/>
            </w:pPr>
            <w:r>
              <w:t xml:space="preserve">Solo inglés</w:t>
            </w:r>
          </w:p>
        </w:tc>
        <w:tc>
          <w:tcPr/>
          <w:p>
            <w:pPr>
              <w:pStyle w:val="Compact"/>
              <w:jc w:val="left"/>
            </w:pPr>
            <w:r>
              <w:t xml:space="preserve">1,224,539</w:t>
            </w:r>
          </w:p>
        </w:tc>
      </w:tr>
      <w:tr>
        <w:tc>
          <w:tcPr/>
          <w:p>
            <w:pPr>
              <w:pStyle w:val="Compact"/>
              <w:jc w:val="left"/>
            </w:pPr>
            <w:r>
              <w:t xml:space="preserve">Español</w:t>
            </w:r>
          </w:p>
        </w:tc>
        <w:tc>
          <w:tcPr/>
          <w:p>
            <w:pPr>
              <w:pStyle w:val="Compact"/>
              <w:jc w:val="left"/>
            </w:pPr>
            <w:r>
              <w:t xml:space="preserve">127,352</w:t>
            </w:r>
          </w:p>
        </w:tc>
      </w:tr>
      <w:tr>
        <w:tc>
          <w:tcPr/>
          <w:p>
            <w:pPr>
              <w:pStyle w:val="Compact"/>
              <w:jc w:val="left"/>
            </w:pPr>
            <w:r>
              <w:t xml:space="preserve">Otros idiomas indoeuropeos</w:t>
            </w:r>
          </w:p>
        </w:tc>
        <w:tc>
          <w:tcPr/>
          <w:p>
            <w:pPr>
              <w:pStyle w:val="Compact"/>
              <w:jc w:val="left"/>
            </w:pPr>
            <w:r>
              <w:t xml:space="preserve">6,750</w:t>
            </w:r>
          </w:p>
        </w:tc>
      </w:tr>
      <w:tr>
        <w:tc>
          <w:tcPr/>
          <w:p>
            <w:pPr>
              <w:pStyle w:val="Compact"/>
              <w:jc w:val="left"/>
            </w:pPr>
            <w:r>
              <w:t xml:space="preserve">Asiático</w:t>
            </w:r>
          </w:p>
        </w:tc>
        <w:tc>
          <w:tcPr/>
          <w:p>
            <w:pPr>
              <w:pStyle w:val="Compact"/>
              <w:jc w:val="left"/>
            </w:pPr>
            <w:r>
              <w:t xml:space="preserve">364</w:t>
            </w:r>
          </w:p>
        </w:tc>
      </w:tr>
    </w:tbl>
    <w:p>
      <w:pPr>
        <w:numPr>
          <w:ilvl w:val="0"/>
          <w:numId w:val="1005"/>
        </w:numPr>
        <w:pStyle w:val="Compact"/>
      </w:pPr>
      <w:r>
        <w:t xml:space="preserve">Basándote en los datos, ¿en Filadelfia hay más personas que solo hablan inglés o más personas que hablan un idioma diferente al inglés? Muestra cómo lo sabes.</w:t>
      </w:r>
    </w:p>
    <w:p>
      <w:pPr>
        <w:numPr>
          <w:ilvl w:val="0"/>
          <w:numId w:val="1005"/>
        </w:numPr>
        <w:pStyle w:val="Compact"/>
      </w:pPr>
      <w:r>
        <w:t xml:space="preserve">¿Cuál es la diferencia entre el número de personas que solo hablan inglés y el número de personas que hablan otro idioma? Muestra cómo lo sabes.</w:t>
      </w:r>
    </w:p>
    <w:p>
      <w:pPr>
        <w:numPr>
          <w:ilvl w:val="0"/>
          <w:numId w:val="1005"/>
        </w:numPr>
      </w:pPr>
      <w:r>
        <w:t xml:space="preserve">La ciudad de Chicago tiene una población similar a la de Filadelfia.</w:t>
      </w:r>
    </w:p>
    <w:p>
      <w:pPr>
        <w:numPr>
          <w:ilvl w:val="0"/>
          <w:numId w:val="1000"/>
        </w:numPr>
      </w:pPr>
      <w:r>
        <w:t xml:space="preserve">Esta tabla muestra datos sobre algunos tipos de idiomas que hablan las personas en Chicago.</w:t>
      </w:r>
    </w:p>
    <w:tbl>
      <w:tblPr>
        <w:tblStyle w:val="Table"/>
        <w:tblW w:type="auto" w:w="0"/>
        <w:tblLook w:firstRow="1" w:lastRow="0" w:firstColumn="0" w:lastColumn="0" w:noHBand="0" w:noVBand="0" w:val="0020"/>
      </w:tblPr>
      <w:tblGrid>
        <w:gridCol w:w="3960"/>
        <w:gridCol w:w="3960"/>
      </w:tblGrid>
      <w:tr>
        <w:trPr>
          <w:tblHeader w:val="true"/>
        </w:trPr>
        <w:tc>
          <w:tcPr/>
          <w:p>
            <w:pPr>
              <w:numPr>
                <w:ilvl w:val="0"/>
                <w:numId w:val="1000"/>
              </w:numPr>
              <w:pStyle w:val="Compact"/>
              <w:jc w:val="center"/>
            </w:pPr>
            <w:r>
              <w:t xml:space="preserve">idioma</w:t>
            </w:r>
          </w:p>
        </w:tc>
        <w:tc>
          <w:tcPr/>
          <w:p>
            <w:pPr>
              <w:numPr>
                <w:ilvl w:val="0"/>
                <w:numId w:val="1000"/>
              </w:numPr>
              <w:pStyle w:val="Compact"/>
              <w:jc w:val="center"/>
            </w:pPr>
            <w:r>
              <w:t xml:space="preserve">número de personas que lo hablan en Chicago</w:t>
            </w:r>
          </w:p>
        </w:tc>
      </w:tr>
      <w:tr>
        <w:tc>
          <w:tcPr/>
          <w:p>
            <w:pPr>
              <w:numPr>
                <w:ilvl w:val="0"/>
                <w:numId w:val="1000"/>
              </w:numPr>
              <w:pStyle w:val="Compact"/>
              <w:jc w:val="left"/>
            </w:pPr>
            <w:r>
              <w:t xml:space="preserve">Solo inglés</w:t>
            </w:r>
          </w:p>
        </w:tc>
        <w:tc>
          <w:tcPr/>
          <w:p>
            <w:pPr>
              <w:numPr>
                <w:ilvl w:val="0"/>
                <w:numId w:val="1000"/>
              </w:numPr>
              <w:pStyle w:val="Compact"/>
              <w:jc w:val="left"/>
            </w:pPr>
            <w:r>
              <w:t xml:space="preserve">1,731,836</w:t>
            </w:r>
          </w:p>
        </w:tc>
      </w:tr>
      <w:tr>
        <w:tc>
          <w:tcPr/>
          <w:p>
            <w:pPr>
              <w:numPr>
                <w:ilvl w:val="0"/>
                <w:numId w:val="1000"/>
              </w:numPr>
              <w:pStyle w:val="Compact"/>
              <w:jc w:val="left"/>
            </w:pPr>
            <w:r>
              <w:t xml:space="preserve">Español</w:t>
            </w:r>
          </w:p>
        </w:tc>
        <w:tc>
          <w:tcPr/>
          <w:p>
            <w:pPr>
              <w:numPr>
                <w:ilvl w:val="0"/>
                <w:numId w:val="1000"/>
              </w:numPr>
              <w:pStyle w:val="Compact"/>
              <w:jc w:val="left"/>
            </w:pPr>
            <w:r>
              <w:t xml:space="preserve">422,568</w:t>
            </w:r>
          </w:p>
        </w:tc>
      </w:tr>
      <w:tr>
        <w:tc>
          <w:tcPr/>
          <w:p>
            <w:pPr>
              <w:numPr>
                <w:ilvl w:val="0"/>
                <w:numId w:val="1000"/>
              </w:numPr>
              <w:pStyle w:val="Compact"/>
              <w:jc w:val="left"/>
            </w:pPr>
            <w:r>
              <w:t xml:space="preserve">Otros idiomas indoeuropeos</w:t>
            </w:r>
          </w:p>
        </w:tc>
        <w:tc>
          <w:tcPr/>
          <w:p>
            <w:pPr>
              <w:numPr>
                <w:ilvl w:val="0"/>
                <w:numId w:val="1000"/>
              </w:numPr>
              <w:pStyle w:val="Compact"/>
              <w:jc w:val="left"/>
            </w:pPr>
            <w:r>
              <w:t xml:space="preserve">25,777</w:t>
            </w:r>
          </w:p>
        </w:tc>
      </w:tr>
      <w:tr>
        <w:tc>
          <w:tcPr/>
          <w:p>
            <w:pPr>
              <w:numPr>
                <w:ilvl w:val="0"/>
                <w:numId w:val="1000"/>
              </w:numPr>
              <w:pStyle w:val="Compact"/>
              <w:jc w:val="left"/>
            </w:pPr>
            <w:r>
              <w:t xml:space="preserve">Asiático</w:t>
            </w:r>
          </w:p>
        </w:tc>
        <w:tc>
          <w:tcPr/>
          <w:p>
            <w:pPr>
              <w:numPr>
                <w:ilvl w:val="0"/>
                <w:numId w:val="1000"/>
              </w:numPr>
              <w:pStyle w:val="Compact"/>
              <w:jc w:val="left"/>
            </w:pPr>
            <w:r>
              <w:t xml:space="preserve">1,005</w:t>
            </w:r>
          </w:p>
        </w:tc>
      </w:tr>
    </w:tbl>
    <w:p>
      <w:pPr>
        <w:numPr>
          <w:ilvl w:val="1"/>
          <w:numId w:val="1006"/>
        </w:numPr>
        <w:pStyle w:val="Compact"/>
      </w:pPr>
      <w:r>
        <w:t xml:space="preserve">¿Cuántas personas más hablan español y otros idiomas indoeuropeos en Chicago que en Filadelfia? Muestra tu razonamiento.</w:t>
      </w:r>
    </w:p>
    <w:p>
      <w:pPr>
        <w:numPr>
          <w:ilvl w:val="1"/>
          <w:numId w:val="1006"/>
        </w:numPr>
        <w:pStyle w:val="Compact"/>
      </w:pPr>
      <w:r>
        <w:t xml:space="preserve">¿Cómo sabes que tu respuesta es razonable?</w:t>
      </w:r>
    </w:p>
    <w:bookmarkEnd w:id="26"/>
    <w:bookmarkStart w:id="30" w:name="section-summary"/>
    <w:p>
      <w:pPr>
        <w:pStyle w:val="Heading3"/>
      </w:pPr>
      <w:r>
        <w:t xml:space="preserve">Section Summary</w:t>
      </w:r>
    </w:p>
    <w:p>
      <w:pPr>
        <w:pStyle w:val="FirstParagraph"/>
      </w:pPr>
      <w:r>
        <w:t xml:space="preserve">Section Summary</w:t>
      </w:r>
    </w:p>
    <w:p>
      <w:pPr>
        <w:pStyle w:val="BodyText"/>
      </w:pPr>
      <w:r>
        <w:t xml:space="preserve">En esta sección, encontramos problemas que tienen números grandes en distintos contextos y que se pueden resolver usando distintas estrategias.</w:t>
      </w:r>
    </w:p>
    <w:p>
      <w:pPr>
        <w:pStyle w:val="BodyText"/>
      </w:pPr>
      <w:r>
        <w:t xml:space="preserve">Al comienzo, vimos al menos cinco formas de encontrar el producto de 45 y 18: multiplicar y dividir por partes, usar varias ecuaciones, usar diagramas y algunas otras.</w:t>
      </w:r>
    </w:p>
    <w:p>
      <w:pPr>
        <w:pStyle w:val="BodyText"/>
      </w:pPr>
      <w:r>
        <w:t xml:space="preserve">Más adelante, exploramos problemas sobre medidas con números hasta de cuatro dígitos. Aprendimos que, a menudo, un mismo problema se puede resolver usando distintas operaciones.</w:t>
      </w:r>
    </w:p>
    <w:p>
      <w:pPr>
        <w:pStyle w:val="BodyText"/>
      </w:pPr>
      <w:r>
        <w:t xml:space="preserve">Por ejemplo, en la actividad del reto físico, Han dio 32,550 pasos en 7 días. Podemos encontrar el número de pasos que dio cada día si pensamos en términos de la multiplicación (¿qué número multiplicado por 7 es 32,550?) o en términos de la división (¿cuánto es 32,550 dividido entre 7?).</w:t>
      </w:r>
    </w:p>
    <w:p>
      <w:pPr>
        <w:pStyle w:val="BodyText"/>
      </w:pPr>
      <w:r>
        <w:t xml:space="preserve">También podemos escribir distintas ecuaciones.</w:t>
      </w:r>
    </w:p>
    <w:p>
      <w:pPr>
        <w:pStyle w:val="BodyText"/>
      </w:pPr>
      <m:oMath>
        <m:r>
          <m:t>7</m:t>
        </m:r>
        <m:r>
          <m:rPr>
            <m:sty m:val="p"/>
          </m:rPr>
          <m:t>×</m:t>
        </m:r>
        <m:r>
          <m:t>n</m:t>
        </m:r>
        <m:r>
          <m:rPr>
            <m:sty m:val="p"/>
          </m:rPr>
          <m:t>=</m:t>
        </m:r>
        <m:r>
          <m:t>32</m:t>
        </m:r>
        <m:r>
          <m:rPr>
            <m:sty m:val="p"/>
          </m:rPr>
          <m:t>,</m:t>
        </m:r>
        <m:r>
          <m:t>​</m:t>
        </m:r>
        <m:r>
          <m:t>550</m:t>
        </m:r>
      </m:oMath>
    </w:p>
    <w:p>
      <w:pPr>
        <w:pStyle w:val="BodyText"/>
      </w:pPr>
      <m:oMath>
        <m:r>
          <m:t>32</m:t>
        </m:r>
        <m:r>
          <m:rPr>
            <m:sty m:val="p"/>
          </m:rPr>
          <m:t>,</m:t>
        </m:r>
        <m:r>
          <m:t>​</m:t>
        </m:r>
        <m:r>
          <m:t>550</m:t>
        </m:r>
        <m:r>
          <m:rPr>
            <m:sty m:val="p"/>
          </m:rPr>
          <m:t>÷</m:t>
        </m:r>
        <m:r>
          <m:t>7</m:t>
        </m:r>
        <m:r>
          <m:rPr>
            <m:sty m:val="p"/>
          </m:rPr>
          <m:t>=</m:t>
        </m:r>
        <m:r>
          <m:t>n</m:t>
        </m:r>
      </m:oMath>
    </w:p>
    <w:p>
      <w:pPr>
        <w:pStyle w:val="BodyText"/>
      </w:pPr>
      <w:r>
        <w:t xml:space="preserve">Para averiguar cuántos pasos tiene que dar Han para alcanzar la meta de 120,000 pasos si ya ha dado 96,897 pasos, podemos pensar en términos de la suma (¿qué número se le debe sumar a 96,897 para formar 120,000?) o en términos de la resta (¿cuál es la diferencia entre 120,000 y 96,897?).</w:t>
      </w:r>
    </w:p>
    <w:p>
      <w:pPr>
        <w:pStyle w:val="BodyText"/>
      </w:pPr>
      <m:oMath>
        <m:r>
          <m:t>96</m:t>
        </m:r>
        <m:r>
          <m:rPr>
            <m:sty m:val="p"/>
          </m:rPr>
          <m:t>,</m:t>
        </m:r>
        <m:r>
          <m:t>​</m:t>
        </m:r>
        <m:r>
          <m:t>897</m:t>
        </m:r>
        <m:r>
          <m:rPr>
            <m:sty m:val="p"/>
          </m:rPr>
          <m:t>+</m:t>
        </m:r>
        <m:r>
          <m:t>n</m:t>
        </m:r>
        <m:r>
          <m:rPr>
            <m:sty m:val="p"/>
          </m:rPr>
          <m:t>=</m:t>
        </m:r>
        <m:r>
          <m:t>120</m:t>
        </m:r>
        <m:r>
          <m:rPr>
            <m:sty m:val="p"/>
          </m:rPr>
          <m:t>,</m:t>
        </m:r>
        <m:r>
          <m:t>​</m:t>
        </m:r>
        <m:r>
          <m:t>000</m:t>
        </m:r>
      </m:oMath>
    </w:p>
    <w:p>
      <w:pPr>
        <w:pStyle w:val="BodyText"/>
      </w:pPr>
      <m:oMath>
        <m:r>
          <m:t>120</m:t>
        </m:r>
        <m:r>
          <m:rPr>
            <m:sty m:val="p"/>
          </m:rPr>
          <m:t>,</m:t>
        </m:r>
        <m:r>
          <m:t>​</m:t>
        </m:r>
        <m:r>
          <m:t>000</m:t>
        </m:r>
        <m:r>
          <m:rPr>
            <m:sty m:val="p"/>
          </m:rPr>
          <m:t>−</m:t>
        </m:r>
        <m:r>
          <m:t>96</m:t>
        </m:r>
        <m:r>
          <m:rPr>
            <m:sty m:val="p"/>
          </m:rPr>
          <m:t>,</m:t>
        </m:r>
        <m:r>
          <m:t>​</m:t>
        </m:r>
        <m:r>
          <m:t>897</m:t>
        </m:r>
        <m:r>
          <m:rPr>
            <m:sty m:val="p"/>
          </m:rPr>
          <m:t>=</m:t>
        </m:r>
        <m:r>
          <m:t>n</m:t>
        </m:r>
      </m:oMath>
    </w:p>
    <w:p>
      <w:pPr>
        <w:pStyle w:val="BodyText"/>
      </w:pPr>
      <w:r>
        <w:drawing>
          <wp:inline>
            <wp:extent cx="762000" cy="266700"/>
            <wp:effectExtent b="0" l="0" r="0" t="0"/>
            <wp:docPr descr="" title="" id="28" name="Picture"/>
            <a:graphic>
              <a:graphicData uri="http://schemas.openxmlformats.org/drawingml/2006/picture">
                <pic:pic>
                  <pic:nvPicPr>
                    <pic:cNvPr descr="/app/app/assets/images/export/ccby_logo_small.png" id="29" name="Picture"/>
                    <pic:cNvPicPr>
                      <a:picLocks noChangeArrowheads="1" noChangeAspect="1"/>
                    </pic:cNvPicPr>
                  </pic:nvPicPr>
                  <pic:blipFill>
                    <a:blip r:embed="rId27"/>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2021 Illustrative Mathematics®</w:t>
      </w:r>
    </w:p>
    <w:bookmarkEnd w:id="30"/>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7" Target="media/rId27.png" /><Relationship Type="http://schemas.openxmlformats.org/officeDocument/2006/relationships/image" Id="rId21" Target="media/rId21.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2022-12-15T00:30:17Z</dcterms:created>
  <dcterms:modified xsi:type="dcterms:W3CDTF">2022-12-15T00:30:17Z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CmtBzWfD7WvhhoALoC+5/aSb7gsn9NDHnjrAEwurMzkubwSUC0sVNiRiIxXxS5WVnXOXjTN+jdwbsCVjf6QwZA==</vt:lpwstr>
  </property>
</Properties>
</file>