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19b03b33f95712cae3a5052e912d6d8ead8e3da"/>
    <w:p>
      <w:pPr>
        <w:pStyle w:val="Heading1"/>
      </w:pPr>
      <w:r>
        <w:t xml:space="preserve">Lesson 17: Emparejemos y dibujemos arreglos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arrays to drawings of equal groups and describe them in terms of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Emparejemos arreglos con grupos iguales y dibujemos arreglos.</w:t>
      </w:r>
    </w:p>
    <w:bookmarkEnd w:id="25"/>
    <w:bookmarkStart w:id="26" w:name="lesson-purpose"/>
    <w:p>
      <w:pPr>
        <w:pStyle w:val="Heading3"/>
      </w:pPr>
      <w:r>
        <w:t xml:space="preserve">Lesson Purpose</w:t>
      </w:r>
    </w:p>
    <w:p>
      <w:pPr>
        <w:pStyle w:val="FirstParagraph"/>
      </w:pPr>
      <w:r>
        <w:t xml:space="preserve">The purpose of this lesson is for students to relate arrays to drawings of equal groups and describe arrays in terms of multiplication.</w:t>
      </w:r>
    </w:p>
    <w:p>
      <w:pPr>
        <w:pStyle w:val="BodyText"/>
      </w:pPr>
      <w:r>
        <w:t xml:space="preserve">Students first match arrays to drawings of equal groups. Then, they redraw drawings of equal groups as arrays. The work of this lesson connects to upcoming lessons when students represent arrays with expressions and equations. Make connecting cubes or counters available to students who need them.</w:t>
      </w:r>
    </w:p>
    <w:p>
      <w:pPr>
        <w:pStyle w:val="BodyText"/>
      </w:pPr>
      <w:r>
        <w:t xml:space="preserve">Keep collecting ideas that arise about commutativity.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1), MLR1 Stronger and Clearer Each Time (Activity 1),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2</w:t>
      </w:r>
    </w:p>
    <w:bookmarkEnd w:id="37"/>
    <w:bookmarkStart w:id="38" w:name="materials-to-copy"/>
    <w:p>
      <w:pPr>
        <w:pStyle w:val="Heading3"/>
      </w:pPr>
      <w:r>
        <w:t xml:space="preserve">Materials to Copy</w:t>
      </w:r>
    </w:p>
    <w:p>
      <w:pPr>
        <w:numPr>
          <w:ilvl w:val="0"/>
          <w:numId w:val="1006"/>
        </w:numPr>
        <w:pStyle w:val="Compact"/>
      </w:pPr>
      <w:r>
        <w:t xml:space="preserve">Card Sort Arrays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Dibuja y describe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5"/>
    <w:bookmarkStart w:id="49" w:name="student-facing-task-statement"/>
    <w:p>
      <w:pPr>
        <w:pStyle w:val="Heading3"/>
      </w:pPr>
      <w:r>
        <w:t xml:space="preserve">Student-facing Task Statement</w:t>
      </w:r>
    </w:p>
    <w:p>
      <w:pPr>
        <w:pStyle w:val="FirstParagraph"/>
      </w:pPr>
      <w:r>
        <w:drawing>
          <wp:inline>
            <wp:extent cx="4457700" cy="1114425"/>
            <wp:effectExtent b="0" l="0" r="0" t="0"/>
            <wp:docPr descr="" title="" id="47" name="Picture"/>
            <a:graphic>
              <a:graphicData uri="http://schemas.openxmlformats.org/drawingml/2006/picture">
                <pic:pic>
                  <pic:nvPicPr>
                    <pic:cNvPr descr="/app/tmp/embedder-1671062072.9837284.png" id="48" name="Picture"/>
                    <pic:cNvPicPr>
                      <a:picLocks noChangeArrowheads="1" noChangeAspect="1"/>
                    </pic:cNvPicPr>
                  </pic:nvPicPr>
                  <pic:blipFill>
                    <a:blip r:embed="rId46"/>
                    <a:stretch>
                      <a:fillRect/>
                    </a:stretch>
                  </pic:blipFill>
                  <pic:spPr bwMode="auto">
                    <a:xfrm>
                      <a:off x="0" y="0"/>
                      <a:ext cx="4457700" cy="1114425"/>
                    </a:xfrm>
                    <a:prstGeom prst="rect">
                      <a:avLst/>
                    </a:prstGeom>
                    <a:noFill/>
                    <a:ln w="9525">
                      <a:noFill/>
                      <a:headEnd/>
                      <a:tailEnd/>
                    </a:ln>
                  </pic:spPr>
                </pic:pic>
              </a:graphicData>
            </a:graphic>
          </wp:inline>
        </w:drawing>
      </w:r>
    </w:p>
    <w:p>
      <w:pPr>
        <w:numPr>
          <w:ilvl w:val="0"/>
          <w:numId w:val="1007"/>
        </w:numPr>
        <w:pStyle w:val="Compact"/>
      </w:pPr>
      <w:r>
        <w:t xml:space="preserve">Dibuja los grupos iguales en forma de arreglo.</w:t>
      </w:r>
    </w:p>
    <w:p>
      <w:pPr>
        <w:numPr>
          <w:ilvl w:val="0"/>
          <w:numId w:val="1007"/>
        </w:numPr>
        <w:pStyle w:val="Compact"/>
      </w:pPr>
      <w:r>
        <w:t xml:space="preserve">Describe cómo se relaciona el diagrama con el arreglo.</w:t>
      </w:r>
    </w:p>
    <w:bookmarkEnd w:id="49"/>
    <w:bookmarkStart w:id="50" w:name="student-responses"/>
    <w:p>
      <w:pPr>
        <w:pStyle w:val="Heading3"/>
      </w:pPr>
      <w:r>
        <w:t xml:space="preserve">Student Responses</w:t>
      </w:r>
    </w:p>
    <w:p>
      <w:pPr>
        <w:numPr>
          <w:ilvl w:val="0"/>
          <w:numId w:val="1008"/>
        </w:numPr>
        <w:pStyle w:val="Compact"/>
      </w:pPr>
      <w:r>
        <w:t xml:space="preserve">Sample response:Students create a</w:t>
      </w:r>
      <w:r>
        <w:t xml:space="preserve"> </w:t>
      </w:r>
      <m:oMath>
        <m:r>
          <m:t>4</m:t>
        </m:r>
        <m:r>
          <m:rPr>
            <m:sty m:val="p"/>
          </m:rPr>
          <m:t>×</m:t>
        </m:r>
        <m:r>
          <m:t>5</m:t>
        </m:r>
      </m:oMath>
      <w:r>
        <w:t xml:space="preserve">,</w:t>
      </w:r>
      <w:r>
        <w:t xml:space="preserve"> </w:t>
      </w:r>
      <m:oMath>
        <m:r>
          <m:t>5</m:t>
        </m:r>
        <m:r>
          <m:rPr>
            <m:sty m:val="p"/>
          </m:rPr>
          <m:t>×</m:t>
        </m:r>
        <m:r>
          <m:t>4</m:t>
        </m:r>
      </m:oMath>
      <w:r>
        <w:t xml:space="preserve">,</w:t>
      </w:r>
      <w:r>
        <w:t xml:space="preserve"> </w:t>
      </w:r>
      <m:oMath>
        <m:r>
          <m:t>2</m:t>
        </m:r>
        <m:r>
          <m:rPr>
            <m:sty m:val="p"/>
          </m:rPr>
          <m:t>×</m:t>
        </m:r>
        <m:r>
          <m:t>10</m:t>
        </m:r>
      </m:oMath>
      <w:r>
        <w:t xml:space="preserve">, or</w:t>
      </w:r>
      <w:r>
        <w:t xml:space="preserve"> </w:t>
      </w:r>
      <m:oMath>
        <m:r>
          <m:t>10</m:t>
        </m:r>
        <m:r>
          <m:rPr>
            <m:sty m:val="p"/>
          </m:rPr>
          <m:t>×</m:t>
        </m:r>
        <m:r>
          <m:t>2</m:t>
        </m:r>
      </m:oMath>
      <w:r>
        <w:t xml:space="preserve"> </w:t>
      </w:r>
      <w:r>
        <w:t xml:space="preserve">array.</w:t>
      </w:r>
    </w:p>
    <w:p>
      <w:pPr>
        <w:numPr>
          <w:ilvl w:val="0"/>
          <w:numId w:val="1008"/>
        </w:numPr>
        <w:pStyle w:val="Compact"/>
      </w:pPr>
      <w:r>
        <w:t xml:space="preserve">Sample response: There are 5 dots in each group and there are 5 dots in each row. There are 4 groups and there are 4 rows. They both have 20 dots.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2022-12-14T23:54:33Z</dcterms:created>
  <dcterms:modified xsi:type="dcterms:W3CDTF">2022-12-14T23:54:33Z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VNMUIy8pzumN0/MdWoOj/TLW73N7HZEfhanpqZydsRdw11F6Q6E2tEg3UAML54+VCz6W9W+XzAQAIwzZ6JKySg==</vt:lpwstr>
  </property>
</Properties>
</file>