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9-multiplication-game-day"/>
    <w:p>
      <w:pPr>
        <w:pStyle w:val="Heading1"/>
      </w:pPr>
      <w:r>
        <w:t xml:space="preserve">Lesson 9: Multiplication Game Day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finding products within 100 by playing multiplication games.</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multiplication games.</w:t>
      </w:r>
    </w:p>
    <w:bookmarkEnd w:id="25"/>
    <w:bookmarkStart w:id="26" w:name="lesson-purpose"/>
    <w:p>
      <w:pPr>
        <w:pStyle w:val="Heading3"/>
      </w:pPr>
      <w:r>
        <w:t xml:space="preserve">Lesson Purpose</w:t>
      </w:r>
    </w:p>
    <w:p>
      <w:pPr>
        <w:pStyle w:val="FirstParagraph"/>
      </w:pPr>
      <w:r>
        <w:t xml:space="preserve">The purpose of this lesson is for students to practice multiplying within 100.</w:t>
      </w:r>
    </w:p>
    <w:p>
      <w:pPr>
        <w:pStyle w:val="BodyText"/>
      </w:pPr>
      <w:r>
        <w:t xml:space="preserve">In the previous lesson, students sorted multiplication expressions to gauge their fluency in finding products. They also played a multiplication game to practice multiplying within 100. In this lesson, students continue to develop their fluency through games. In the first activity, students are introduced to two multiplication centers. In the second activity, students choose between three centers to practice multiplying within 100.</w:t>
      </w:r>
    </w:p>
    <w:p>
      <w:pPr>
        <w:pStyle w:val="BodyText"/>
      </w:pPr>
      <w:r>
        <w:t xml:space="preserve">If students need additional support with the concepts in this lesson, refer back to Unit 4, Section B in the curriculum materials.</w:t>
      </w:r>
      <w:r>
        <w:t xml:space="preserv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2</w:t>
      </w:r>
    </w:p>
    <w:bookmarkEnd w:id="37"/>
    <w:bookmarkStart w:id="38" w:name="materials-to-copy"/>
    <w:p>
      <w:pPr>
        <w:pStyle w:val="Heading3"/>
      </w:pPr>
      <w:r>
        <w:t xml:space="preserve">Materials to Copy</w:t>
      </w:r>
    </w:p>
    <w:p>
      <w:pPr>
        <w:numPr>
          <w:ilvl w:val="0"/>
          <w:numId w:val="1006"/>
        </w:numPr>
        <w:pStyle w:val="Compact"/>
      </w:pPr>
      <w:r>
        <w:t xml:space="preserve">How Close? Stage 5 Recording Sheet (groups of 1): Activity 1</w:t>
      </w:r>
    </w:p>
    <w:p>
      <w:pPr>
        <w:numPr>
          <w:ilvl w:val="0"/>
          <w:numId w:val="1006"/>
        </w:numPr>
        <w:pStyle w:val="Compact"/>
      </w:pPr>
      <w:r>
        <w:t xml:space="preserve">Number Cards (0-10) (groups of 2): Activity 1</w:t>
      </w:r>
    </w:p>
    <w:p>
      <w:pPr>
        <w:numPr>
          <w:ilvl w:val="0"/>
          <w:numId w:val="1006"/>
        </w:numPr>
        <w:pStyle w:val="Compact"/>
      </w:pPr>
      <w:r>
        <w:t xml:space="preserve">Rectangle Rumble Stage 3 Grid (groups of 2): Activity 1</w:t>
      </w:r>
    </w:p>
    <w:p>
      <w:pPr>
        <w:numPr>
          <w:ilvl w:val="0"/>
          <w:numId w:val="1006"/>
        </w:numPr>
        <w:pStyle w:val="Compact"/>
      </w:pPr>
      <w:r>
        <w:t xml:space="preserve">Rectangle Rumble Stage 3 Spinners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 on Multiplication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w:t>
            </w:r>
          </w:p>
        </w:tc>
      </w:tr>
    </w:tbl>
    <w:bookmarkEnd w:id="45"/>
    <w:bookmarkStart w:id="46" w:name="student-facing-task-statement"/>
    <w:p>
      <w:pPr>
        <w:pStyle w:val="Heading3"/>
      </w:pPr>
      <w:r>
        <w:t xml:space="preserve">Student-facing Task Statement</w:t>
      </w:r>
    </w:p>
    <w:p>
      <w:pPr>
        <w:pStyle w:val="FirstParagraph"/>
      </w:pPr>
      <w:r>
        <w:t xml:space="preserve">What have you learned about multiplication this year?</w:t>
      </w:r>
    </w:p>
    <w:bookmarkEnd w:id="46"/>
    <w:bookmarkStart w:id="47" w:name="student-responses"/>
    <w:p>
      <w:pPr>
        <w:pStyle w:val="Heading3"/>
      </w:pPr>
      <w:r>
        <w:t xml:space="preserve">Student Responses</w:t>
      </w:r>
    </w:p>
    <w:p>
      <w:pPr>
        <w:pStyle w:val="FirstParagraph"/>
      </w:pPr>
      <w:r>
        <w:t xml:space="preserve">Answers vary. Sample responses:</w:t>
      </w:r>
    </w:p>
    <w:p>
      <w:pPr>
        <w:numPr>
          <w:ilvl w:val="0"/>
          <w:numId w:val="1007"/>
        </w:numPr>
        <w:pStyle w:val="Compact"/>
      </w:pPr>
      <w:r>
        <w:t xml:space="preserve">Multiplication is how we represent equal groups.</w:t>
      </w:r>
    </w:p>
    <w:p>
      <w:pPr>
        <w:numPr>
          <w:ilvl w:val="0"/>
          <w:numId w:val="1007"/>
        </w:numPr>
        <w:pStyle w:val="Compact"/>
      </w:pPr>
      <w:r>
        <w:t xml:space="preserve">Multiplication is related to division.</w:t>
      </w:r>
    </w:p>
    <w:p>
      <w:pPr>
        <w:numPr>
          <w:ilvl w:val="0"/>
          <w:numId w:val="1007"/>
        </w:numPr>
        <w:pStyle w:val="Compact"/>
      </w:pPr>
      <w:r>
        <w:t xml:space="preserve">Multiplication can represent area.</w:t>
      </w:r>
    </w:p>
    <w:p>
      <w:pPr>
        <w:numPr>
          <w:ilvl w:val="0"/>
          <w:numId w:val="1007"/>
        </w:numPr>
        <w:pStyle w:val="Compact"/>
      </w:pPr>
      <w:r>
        <w:t xml:space="preserve">You can use different strategies to multiply like using a fact you know.</w:t>
      </w:r>
    </w:p>
    <w:p>
      <w:pPr>
        <w:numPr>
          <w:ilvl w:val="0"/>
          <w:numId w:val="1007"/>
        </w:numPr>
        <w:pStyle w:val="Compact"/>
      </w:pPr>
      <w:r>
        <w:t xml:space="preserve">There are patterns in the multiplication table.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2022-12-14T12:22:06Z</dcterms:created>
  <dcterms:modified xsi:type="dcterms:W3CDTF">2022-12-14T12:22:06Z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BvwKM/NpHomBY35LhR//nYacdh7CL5WP1+0But+E8Y8i+E9qn+Hm1ESH3VXUe9P1v3QPmNalyJRSZ+TKq4vy0g==</vt:lpwstr>
  </property>
</Properties>
</file>