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rId24.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4</w:t>
      </w:r>
      <w:r>
        <w:t xml:space="preserve">CC BY NC 2024 Illustrative Mathematics®</w:t>
      </w:r>
    </w:p>
    <w:p>
      <w:pPr>
        <w:pStyle w:val="BodyText"/>
      </w:pPr>
      <w:r>
        <w:t xml:space="preserve">Unit 6, Lesson 4</w:t>
      </w:r>
    </w:p>
    <w:bookmarkStart w:id="37" w:name="lesson-484225"/>
    <w:p>
      <w:pPr>
        <w:pStyle w:val="Heading1"/>
      </w:pPr>
      <w:r>
        <w:t xml:space="preserve">Representing Exponential Decay</w:t>
      </w:r>
    </w:p>
    <w:p>
      <w:pPr>
        <w:pStyle w:val="FirstParagraph"/>
      </w:pPr>
      <w:r>
        <w:t xml:space="preserve">Let’s think about how to show and talk about exponential decay.</w:t>
      </w:r>
    </w:p>
    <w:p>
      <w:pPr>
        <w:pStyle w:val="BodyText"/>
      </w:pPr>
      <w:r>
        <w:t xml:space="preserve"> </w:t>
      </w:r>
      <w:r>
        <w:t xml:space="preserve">Algebra 1</w:t>
      </w:r>
      <w:r>
        <w:br/>
      </w:r>
      <w:r>
        <w:t xml:space="preserve">Unit 6</w:t>
      </w:r>
      <w:r>
        <w:t xml:space="preserve">Lesson 4</w:t>
      </w:r>
      <w:r>
        <w:t xml:space="preserve">CC BY NC 2024 Illustrative Mathematics®</w:t>
      </w:r>
    </w:p>
    <w:bookmarkStart w:id="20" w:name="activity-484244"/>
    <w:p>
      <w:pPr>
        <w:pStyle w:val="Heading2"/>
      </w:pPr>
      <w:r>
        <w:t xml:space="preserve">4.1</w:t>
      </w:r>
      <w:r>
        <w:t xml:space="preserve">Two Other Tables</w:t>
      </w:r>
    </w:p>
    <w:p>
      <w:pPr>
        <w:pStyle w:val="FirstParagraph"/>
      </w:pPr>
      <w:r>
        <w:t xml:space="preserve">Use the patterns you notice to complete the tables. Show your reasoning.</w:t>
      </w:r>
    </w:p>
    <w:p>
      <w:pPr>
        <w:pStyle w:val="BodyText"/>
      </w:pPr>
      <w:r>
        <w:t xml:space="preserve">Table A</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   4   </w:t>
            </w:r>
          </w:p>
        </w:tc>
        <w:tc>
          <w:tcPr/>
          <w:p>
            <w:pPr>
              <w:pStyle w:val="Compact"/>
              <w:jc w:val="left"/>
            </w:pPr>
            <w:r>
              <w:t xml:space="preserve">  25  </w:t>
            </w:r>
          </w:p>
        </w:tc>
      </w:tr>
      <w:tr>
        <w:tc>
          <w:tcPr/>
          <w:p>
            <w:pPr>
              <w:pStyle w:val="Compact"/>
              <w:jc w:val="left"/>
            </w:pPr>
            <m:oMath>
              <m:r>
                <m:t>y</m:t>
              </m:r>
            </m:oMath>
          </w:p>
        </w:tc>
        <w:tc>
          <w:tcPr/>
          <w:p>
            <w:pPr>
              <w:pStyle w:val="Compact"/>
              <w:jc w:val="left"/>
            </w:pPr>
            <w:r>
              <w:t xml:space="preserve">2.5</w:t>
            </w:r>
          </w:p>
        </w:tc>
        <w:tc>
          <w:tcPr/>
          <w:p>
            <w:pPr>
              <w:pStyle w:val="Compact"/>
              <w:jc w:val="left"/>
            </w:pPr>
            <w:r>
              <w:t xml:space="preserve">10</w:t>
            </w:r>
          </w:p>
        </w:tc>
        <w:tc>
          <w:tcPr/>
          <w:p>
            <w:pPr>
              <w:pStyle w:val="Compact"/>
              <w:jc w:val="left"/>
            </w:pPr>
            <w:r>
              <w:t xml:space="preserve">17.5</w:t>
            </w:r>
          </w:p>
        </w:tc>
        <w:tc>
          <w:tcPr/>
          <w:p>
            <w:pPr>
              <w:pStyle w:val="Compact"/>
              <w:jc w:val="left"/>
            </w:pPr>
            <w:r>
              <w:t xml:space="preserve">25</w:t>
            </w:r>
          </w:p>
        </w:tc>
        <w:tc>
          <w:tcPr/>
          <w:p>
            <w:pPr>
              <w:pStyle w:val="Compact"/>
              <w:jc w:val="left"/>
            </w:pPr>
            <w:r>
              <w:t xml:space="preserve"> </w:t>
            </w:r>
          </w:p>
        </w:tc>
        <w:tc>
          <w:tcPr/>
          <w:p>
            <w:pPr>
              <w:pStyle w:val="Compact"/>
              <w:jc w:val="left"/>
            </w:pPr>
            <w:r>
              <w:t xml:space="preserve"> </w:t>
            </w:r>
          </w:p>
        </w:tc>
      </w:tr>
    </w:tbl>
    <w:p>
      <w:pPr>
        <w:pStyle w:val="BodyText"/>
      </w:pPr>
      <w:r>
        <w:t xml:space="preserve"> </w:t>
      </w:r>
    </w:p>
    <w:p>
      <w:pPr>
        <w:pStyle w:val="BodyText"/>
      </w:pPr>
      <w:r>
        <w:t xml:space="preserve">Table B</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pStyle w:val="Compact"/>
              <w:jc w:val="left"/>
            </w:pPr>
            <m:oMath>
              <m:r>
                <m:t>x</m:t>
              </m:r>
            </m:oMath>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   4   </w:t>
            </w:r>
          </w:p>
        </w:tc>
        <w:tc>
          <w:tcPr/>
          <w:p>
            <w:pPr>
              <w:pStyle w:val="Compact"/>
              <w:jc w:val="left"/>
            </w:pPr>
            <w:r>
              <w:t xml:space="preserve">  25  </w:t>
            </w:r>
          </w:p>
        </w:tc>
      </w:tr>
      <w:tr>
        <w:tc>
          <w:tcPr/>
          <w:p>
            <w:pPr>
              <w:pStyle w:val="Compact"/>
              <w:jc w:val="left"/>
            </w:pPr>
            <m:oMath>
              <m:r>
                <m:t>y</m:t>
              </m:r>
            </m:oMath>
          </w:p>
        </w:tc>
        <w:tc>
          <w:tcPr/>
          <w:p>
            <w:pPr>
              <w:pStyle w:val="Compact"/>
              <w:jc w:val="left"/>
            </w:pPr>
            <w:r>
              <w:t xml:space="preserve">2.5</w:t>
            </w:r>
          </w:p>
        </w:tc>
        <w:tc>
          <w:tcPr/>
          <w:p>
            <w:pPr>
              <w:pStyle w:val="Compact"/>
              <w:jc w:val="left"/>
            </w:pPr>
            <w:r>
              <w:t xml:space="preserve">10</w:t>
            </w:r>
          </w:p>
        </w:tc>
        <w:tc>
          <w:tcPr/>
          <w:p>
            <w:pPr>
              <w:pStyle w:val="Compact"/>
              <w:jc w:val="left"/>
            </w:pPr>
            <w:r>
              <w:t xml:space="preserve">40</w:t>
            </w:r>
          </w:p>
        </w:tc>
        <w:tc>
          <w:tcPr/>
          <w:p>
            <w:pPr>
              <w:pStyle w:val="Compact"/>
              <w:jc w:val="left"/>
            </w:pPr>
            <w:r>
              <w:t xml:space="preserve">160</w:t>
            </w:r>
          </w:p>
        </w:tc>
        <w:tc>
          <w:tcPr/>
          <w:p>
            <w:pPr>
              <w:pStyle w:val="Compact"/>
              <w:jc w:val="left"/>
            </w:pPr>
            <w:r>
              <w:t xml:space="preserve"> </w:t>
            </w:r>
          </w:p>
        </w:tc>
        <w:tc>
          <w:tcPr/>
          <w:p>
            <w:pPr>
              <w:pStyle w:val="Compact"/>
              <w:jc w:val="left"/>
            </w:pPr>
            <w:r>
              <w:t xml:space="preserve"> </w:t>
            </w:r>
          </w:p>
        </w:tc>
      </w:tr>
    </w:tbl>
    <w:p>
      <w:pPr>
        <w:pStyle w:val="BodyText"/>
      </w:pPr>
      <w:r>
        <w:t xml:space="preserve"> </w:t>
      </w:r>
    </w:p>
    <w:bookmarkEnd w:id="20"/>
    <w:p>
      <w:pPr>
        <w:pStyle w:val="BodyText"/>
      </w:pPr>
      <w:r>
        <w:t xml:space="preserve"> </w:t>
      </w:r>
      <w:r>
        <w:t xml:space="preserve">Algebra 1</w:t>
      </w:r>
      <w:r>
        <w:br/>
      </w:r>
      <w:r>
        <w:t xml:space="preserve">Unit 6</w:t>
      </w:r>
      <w:r>
        <w:t xml:space="preserve">Lesson 4</w:t>
      </w:r>
      <w:r>
        <w:t xml:space="preserve">CC BY NC 2024 Illustrative Mathematics®</w:t>
      </w:r>
    </w:p>
    <w:bookmarkStart w:id="28" w:name="activity-484245"/>
    <w:p>
      <w:pPr>
        <w:pStyle w:val="Heading2"/>
      </w:pPr>
      <w:r>
        <w:t xml:space="preserve">4.2</w:t>
      </w:r>
      <w:r>
        <w:t xml:space="preserve">The Algae Bloom</w:t>
      </w:r>
    </w:p>
    <w:p>
      <w:pPr>
        <w:pStyle w:val="FirstParagraph"/>
      </w:pPr>
      <w:r>
        <w:t xml:space="preserve">In order to control an algae bloom in a lake, scientists introduce some treatment products.</w:t>
      </w:r>
    </w:p>
    <w:p>
      <w:pPr>
        <w:pStyle w:val="BodyText"/>
      </w:pPr>
      <w:r>
        <w:t xml:space="preserve">Once the treatment begins, the area covered by algae</w:t>
      </w:r>
      <w:r>
        <w:t xml:space="preserve"> </w:t>
      </w:r>
      <m:oMath>
        <m:r>
          <m:t>A</m:t>
        </m:r>
      </m:oMath>
      <w:r>
        <w:t xml:space="preserve">, in square yards, is given by the equation</w:t>
      </w:r>
      <w:r>
        <w:t xml:space="preserve"> </w:t>
      </w:r>
      <m:oMath>
        <m:r>
          <m:t>A</m:t>
        </m:r>
        <m:r>
          <m:rPr>
            <m:sty m:val="p"/>
          </m:rPr>
          <m:t>=</m:t>
        </m:r>
        <m:r>
          <m:t>240</m:t>
        </m:r>
        <m:r>
          <m:rPr>
            <m:sty m:val="p"/>
          </m:rPr>
          <m:t>⋅</m:t>
        </m:r>
        <m:sSup>
          <m:e>
            <m:d>
              <m:dPr>
                <m:begChr m:val="("/>
                <m:endChr m:val=")"/>
                <m:sepChr m:val=""/>
                <m:grow/>
              </m:dPr>
              <m:e>
                <m:f>
                  <m:fPr>
                    <m:type m:val="bar"/>
                  </m:fPr>
                  <m:num>
                    <m:r>
                      <m:t>1</m:t>
                    </m:r>
                  </m:num>
                  <m:den>
                    <m:r>
                      <m:t>3</m:t>
                    </m:r>
                  </m:den>
                </m:f>
              </m:e>
            </m:d>
          </m:e>
          <m:sup>
            <m:r>
              <m:t>t</m:t>
            </m:r>
          </m:sup>
        </m:sSup>
      </m:oMath>
      <w:r>
        <w:t xml:space="preserve">. Time,</w:t>
      </w:r>
      <w:r>
        <w:t xml:space="preserve"> </w:t>
      </w:r>
      <m:oMath>
        <m:r>
          <m:t>t</m:t>
        </m:r>
      </m:oMath>
      <w:r>
        <w:t xml:space="preserve">, is measured in weeks.</w:t>
      </w:r>
    </w:p>
    <w:p>
      <w:pPr>
        <w:pStyle w:val="BodyText"/>
      </w:pPr>
      <w:r>
        <w:drawing>
          <wp:inline>
            <wp:extent cx="5943600" cy="4457700"/>
            <wp:effectExtent b="0" l="0" r="0" t="0"/>
            <wp:docPr descr="Lake with algae growth." title="" id="22" name="Picture"/>
            <a:graphic>
              <a:graphicData uri="http://schemas.openxmlformats.org/drawingml/2006/picture">
                <pic:pic>
                  <pic:nvPicPr>
                    <pic:cNvPr descr="/app/tmp/embedder-1732015527.3127518.jpg" id="23" name="Picture"/>
                    <pic:cNvPicPr>
                      <a:picLocks noChangeArrowheads="1" noChangeAspect="1"/>
                    </pic:cNvPicPr>
                  </pic:nvPicPr>
                  <pic:blipFill>
                    <a:blip r:embed="rId21"/>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1"/>
        </w:numPr>
        <w:pStyle w:val="Compact"/>
      </w:pPr>
      <w:r>
        <w:t xml:space="preserve">In the equation, what does the 240 tell us about the algae? What does the</w:t>
      </w:r>
      <w:r>
        <w:t xml:space="preserve"> </w:t>
      </w:r>
      <m:oMath>
        <m:f>
          <m:fPr>
            <m:type m:val="bar"/>
          </m:fPr>
          <m:num>
            <m:r>
              <m:t>1</m:t>
            </m:r>
          </m:num>
          <m:den>
            <m:r>
              <m:t>3</m:t>
            </m:r>
          </m:den>
        </m:f>
      </m:oMath>
      <w:r>
        <w:t xml:space="preserve"> </w:t>
      </w:r>
      <w:r>
        <w:t xml:space="preserve">tell us?</w:t>
      </w:r>
    </w:p>
    <w:p>
      <w:pPr>
        <w:numPr>
          <w:ilvl w:val="0"/>
          <w:numId w:val="1001"/>
        </w:numPr>
      </w:pPr>
      <w:r>
        <w:t xml:space="preserve">Create a graph to represent</w:t>
      </w:r>
      <w:r>
        <w:t xml:space="preserve"> </w:t>
      </w:r>
      <m:oMath>
        <m:r>
          <m:t>A</m:t>
        </m:r>
        <m:r>
          <m:rPr>
            <m:sty m:val="p"/>
          </m:rPr>
          <m:t>=</m:t>
        </m:r>
        <m:r>
          <m:t>240</m:t>
        </m:r>
        <m:r>
          <m:rPr>
            <m:sty m:val="p"/>
          </m:rPr>
          <m:t>⋅</m:t>
        </m:r>
        <m:sSup>
          <m:e>
            <m:d>
              <m:dPr>
                <m:begChr m:val="("/>
                <m:endChr m:val=")"/>
                <m:sepChr m:val=""/>
                <m:grow/>
              </m:dPr>
              <m:e>
                <m:f>
                  <m:fPr>
                    <m:type m:val="bar"/>
                  </m:fPr>
                  <m:num>
                    <m:r>
                      <m:t>1</m:t>
                    </m:r>
                  </m:num>
                  <m:den>
                    <m:r>
                      <m:t>3</m:t>
                    </m:r>
                  </m:den>
                </m:f>
              </m:e>
            </m:d>
          </m:e>
          <m:sup>
            <m:r>
              <m:t>t</m:t>
            </m:r>
          </m:sup>
        </m:sSup>
      </m:oMath>
      <w:r>
        <w:t xml:space="preserve"> </w:t>
      </w:r>
      <w:r>
        <w:t xml:space="preserve">when</w:t>
      </w:r>
      <w:r>
        <w:t xml:space="preserve"> </w:t>
      </w:r>
      <m:oMath>
        <m:r>
          <m:t>t</m:t>
        </m:r>
      </m:oMath>
      <w:r>
        <w:t xml:space="preserve"> </w:t>
      </w:r>
      <w:r>
        <w:t xml:space="preserve">is 0, 1, 2, 3, and 4. Think carefully about how you choose the scale for the axes. If you get stuck, consider creating a table of values.</w:t>
      </w:r>
    </w:p>
    <w:p>
      <w:pPr>
        <w:numPr>
          <w:ilvl w:val="0"/>
          <w:numId w:val="1000"/>
        </w:numPr>
        <w:pStyle w:val="Compact"/>
      </w:pPr>
      <w:r>
        <w:drawing>
          <wp:inline>
            <wp:extent cx="2643301" cy="2819590"/>
            <wp:effectExtent b="0" l="0" r="0" t="0"/>
            <wp:docPr descr="Blank coordinate plane, origin O, with 16 unit by 16 unit grid." title="" id="25" name="Picture"/>
            <a:graphic>
              <a:graphicData uri="http://schemas.openxmlformats.org/drawingml/2006/picture">
                <pic:pic>
                  <pic:nvPicPr>
                    <pic:cNvPr descr="/app/tmp/embedder-1732015527.418778.png" id="26" name="Picture"/>
                    <pic:cNvPicPr>
                      <a:picLocks noChangeArrowheads="1" noChangeAspect="1"/>
                    </pic:cNvPicPr>
                  </pic:nvPicPr>
                  <pic:blipFill>
                    <a:blip r:embed="rId24"/>
                    <a:stretch>
                      <a:fillRect/>
                    </a:stretch>
                  </pic:blipFill>
                  <pic:spPr bwMode="auto">
                    <a:xfrm>
                      <a:off x="0" y="0"/>
                      <a:ext cx="2643301" cy="2819590"/>
                    </a:xfrm>
                    <a:prstGeom prst="rect">
                      <a:avLst/>
                    </a:prstGeom>
                    <a:noFill/>
                    <a:ln w="9525">
                      <a:noFill/>
                      <a:headEnd/>
                      <a:tailEnd/>
                    </a:ln>
                  </pic:spPr>
                </pic:pic>
              </a:graphicData>
            </a:graphic>
          </wp:inline>
        </w:drawing>
      </w:r>
    </w:p>
    <w:p>
      <w:pPr>
        <w:numPr>
          <w:ilvl w:val="0"/>
          <w:numId w:val="1001"/>
        </w:numPr>
        <w:pStyle w:val="Compact"/>
      </w:pPr>
      <w:r>
        <w:t xml:space="preserve">About how many square yards will the algae cover after 2.5 weeks? Explain your reasoning.</w:t>
      </w:r>
    </w:p>
    <w:bookmarkStart w:id="27" w:name="activity-484245"/>
    <w:p>
      <w:pPr>
        <w:pStyle w:val="Heading3"/>
      </w:pPr>
      <w:r>
        <w:t xml:space="preserve">Are you ready for more?</w:t>
      </w:r>
    </w:p>
    <w:p>
      <w:pPr>
        <w:pStyle w:val="FirstParagraph"/>
      </w:pPr>
      <w:r>
        <w:t xml:space="preserve">The scientists estimate that to keep the algae bloom from spreading after the treatment concludes, they will need to get the area covered to be under one square foot. How many weeks should they run the treatment in order to achieve this?</w:t>
      </w:r>
    </w:p>
    <w:bookmarkEnd w:id="27"/>
    <w:bookmarkEnd w:id="28"/>
    <w:p>
      <w:pPr>
        <w:pStyle w:val="BodyText"/>
      </w:pPr>
      <w:r>
        <w:t xml:space="preserve"> </w:t>
      </w:r>
      <w:r>
        <w:t xml:space="preserve">Algebra 1</w:t>
      </w:r>
      <w:r>
        <w:br/>
      </w:r>
      <w:r>
        <w:t xml:space="preserve">Unit 6</w:t>
      </w:r>
      <w:r>
        <w:t xml:space="preserve">Lesson 4</w:t>
      </w:r>
      <w:r>
        <w:t xml:space="preserve">CC BY NC 2024 Illustrative Mathematics®</w:t>
      </w:r>
    </w:p>
    <w:bookmarkStart w:id="32" w:name="activity-484246"/>
    <w:p>
      <w:pPr>
        <w:pStyle w:val="Heading2"/>
      </w:pPr>
      <w:r>
        <w:t xml:space="preserve">4.3</w:t>
      </w:r>
      <w:r>
        <w:t xml:space="preserve">Glow Stick Luminescence</w:t>
      </w:r>
    </w:p>
    <w:p>
      <w:pPr>
        <w:pStyle w:val="FirstParagraph"/>
      </w:pPr>
      <w:r>
        <w:drawing>
          <wp:inline>
            <wp:extent cx="4396790" cy="2634145"/>
            <wp:effectExtent b="0" l="0" r="0" t="0"/>
            <wp:docPr descr="A graph of luminescence (lumens) over time (hours) showing 13 points including 0 comma 9, 1 comma 6.3, 2 comma 4.4, and 3 comma 3.1." title="" id="30" name="Picture"/>
            <a:graphic>
              <a:graphicData uri="http://schemas.openxmlformats.org/drawingml/2006/picture">
                <pic:pic>
                  <pic:nvPicPr>
                    <pic:cNvPr descr="/app/tmp/embedder-1732015527.5208755.png" id="31" name="Picture"/>
                    <pic:cNvPicPr>
                      <a:picLocks noChangeArrowheads="1" noChangeAspect="1"/>
                    </pic:cNvPicPr>
                  </pic:nvPicPr>
                  <pic:blipFill>
                    <a:blip r:embed="rId29"/>
                    <a:stretch>
                      <a:fillRect/>
                    </a:stretch>
                  </pic:blipFill>
                  <pic:spPr bwMode="auto">
                    <a:xfrm>
                      <a:off x="0" y="0"/>
                      <a:ext cx="4396790" cy="2634145"/>
                    </a:xfrm>
                    <a:prstGeom prst="rect">
                      <a:avLst/>
                    </a:prstGeom>
                    <a:noFill/>
                    <a:ln w="9525">
                      <a:noFill/>
                      <a:headEnd/>
                      <a:tailEnd/>
                    </a:ln>
                  </pic:spPr>
                </pic:pic>
              </a:graphicData>
            </a:graphic>
          </wp:inline>
        </w:drawing>
      </w:r>
    </w:p>
    <w:p>
      <w:pPr>
        <w:pStyle w:val="BodyText"/>
      </w:pPr>
      <w:r>
        <w:t xml:space="preserve">Once a glow stick begins to glow, it can glow for hours. The graph shows the luminescence, in lumens, of a glow stick over time, in hours.</w:t>
      </w:r>
    </w:p>
    <w:p>
      <w:pPr>
        <w:numPr>
          <w:ilvl w:val="0"/>
          <w:numId w:val="1002"/>
        </w:numPr>
        <w:pStyle w:val="Compact"/>
      </w:pPr>
      <w:r>
        <w:t xml:space="preserve">Scientists have found that glow stick luminescence decreases exponentially. How can you check if the graph supports the scientists’ claim?</w:t>
      </w:r>
    </w:p>
    <w:p>
      <w:pPr>
        <w:numPr>
          <w:ilvl w:val="0"/>
          <w:numId w:val="1002"/>
        </w:numPr>
        <w:pStyle w:val="Compact"/>
      </w:pPr>
      <w:r>
        <w:t xml:space="preserve">How much less bright is the glow stick after the first hour? What fraction of the original luminescence is that?</w:t>
      </w:r>
    </w:p>
    <w:p>
      <w:pPr>
        <w:numPr>
          <w:ilvl w:val="0"/>
          <w:numId w:val="1002"/>
        </w:numPr>
        <w:pStyle w:val="Compact"/>
      </w:pPr>
      <w:r>
        <w:t xml:space="preserve">How much less bright is the glow stick after the second hour? What fraction is that of the luminescence 1 hour earlier?</w:t>
      </w:r>
    </w:p>
    <w:p>
      <w:pPr>
        <w:numPr>
          <w:ilvl w:val="0"/>
          <w:numId w:val="1002"/>
        </w:numPr>
        <w:pStyle w:val="Compact"/>
      </w:pPr>
      <w:r>
        <w:t xml:space="preserve">What fraction of luminescence stays for each hour that passes? Explain your reasoning.</w:t>
      </w:r>
    </w:p>
    <w:p>
      <w:pPr>
        <w:numPr>
          <w:ilvl w:val="0"/>
          <w:numId w:val="1002"/>
        </w:numPr>
        <w:pStyle w:val="Compact"/>
      </w:pPr>
      <w:r>
        <w:t xml:space="preserve">Complete the table to show the predicted luminescence 4 and 5 hours after beginning to glow.</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glowing time (hours)</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 4 </w:t>
            </w:r>
          </w:p>
        </w:tc>
        <w:tc>
          <w:tcPr/>
          <w:p>
            <w:pPr>
              <w:numPr>
                <w:ilvl w:val="0"/>
                <w:numId w:val="1000"/>
              </w:numPr>
              <w:pStyle w:val="Compact"/>
              <w:jc w:val="left"/>
            </w:pPr>
            <w:r>
              <w:t xml:space="preserve"> 5 </w:t>
            </w:r>
          </w:p>
        </w:tc>
      </w:tr>
      <w:tr>
        <w:tc>
          <w:tcPr/>
          <w:p>
            <w:pPr>
              <w:numPr>
                <w:ilvl w:val="0"/>
                <w:numId w:val="1000"/>
              </w:numPr>
              <w:pStyle w:val="Compact"/>
              <w:jc w:val="left"/>
            </w:pPr>
            <w:r>
              <w:t xml:space="preserve">luminescence (lumens)</w:t>
            </w:r>
          </w:p>
        </w:tc>
        <w:tc>
          <w:tcPr/>
          <w:p>
            <w:pPr>
              <w:numPr>
                <w:ilvl w:val="0"/>
                <w:numId w:val="1000"/>
              </w:numPr>
              <w:pStyle w:val="Compact"/>
              <w:jc w:val="left"/>
            </w:pPr>
            <w:r>
              <w:t xml:space="preserve">9</w:t>
            </w:r>
          </w:p>
        </w:tc>
        <w:tc>
          <w:tcPr/>
          <w:p>
            <w:pPr>
              <w:numPr>
                <w:ilvl w:val="0"/>
                <w:numId w:val="1000"/>
              </w:numPr>
              <w:pStyle w:val="Compact"/>
              <w:jc w:val="left"/>
            </w:pPr>
            <w:r>
              <w:t xml:space="preserve">6.3</w:t>
            </w:r>
          </w:p>
        </w:tc>
        <w:tc>
          <w:tcPr/>
          <w:p>
            <w:pPr>
              <w:numPr>
                <w:ilvl w:val="0"/>
                <w:numId w:val="1000"/>
              </w:numPr>
              <w:pStyle w:val="Compact"/>
              <w:jc w:val="left"/>
            </w:pPr>
            <w:r>
              <w:t xml:space="preserve">4.4</w:t>
            </w:r>
          </w:p>
        </w:tc>
        <w:tc>
          <w:tcPr/>
          <w:p>
            <w:pPr>
              <w:numPr>
                <w:ilvl w:val="0"/>
                <w:numId w:val="1000"/>
              </w:numPr>
              <w:pStyle w:val="Compact"/>
              <w:jc w:val="left"/>
            </w:pPr>
            <w:r>
              <w:t xml:space="preserve">3.1</w:t>
            </w:r>
          </w:p>
        </w:tc>
        <w:tc>
          <w:tcPr/>
          <w:p>
            <w:pPr>
              <w:pStyle w:val="Compact"/>
            </w:pPr>
          </w:p>
        </w:tc>
        <w:tc>
          <w:tcPr/>
          <w:p>
            <w:pPr>
              <w:pStyle w:val="Compact"/>
            </w:pPr>
          </w:p>
        </w:tc>
      </w:tr>
    </w:tbl>
    <w:p>
      <w:pPr>
        <w:numPr>
          <w:ilvl w:val="0"/>
          <w:numId w:val="1002"/>
        </w:numPr>
        <w:pStyle w:val="Compact"/>
      </w:pPr>
      <w:r>
        <w:t xml:space="preserve">Describe how you would find how many lumens the glow stick produces after 10 hours. After</w:t>
      </w:r>
      <w:r>
        <w:t xml:space="preserve"> </w:t>
      </w:r>
      <m:oMath>
        <m:r>
          <m:t>h</m:t>
        </m:r>
      </m:oMath>
      <w:r>
        <w:t xml:space="preserve"> </w:t>
      </w:r>
      <w:r>
        <w:t xml:space="preserve">hours?</w:t>
      </w:r>
    </w:p>
    <w:bookmarkEnd w:id="32"/>
    <w:bookmarkStart w:id="36" w:name="lesson-484225"/>
    <w:p>
      <w:pPr>
        <w:pStyle w:val="Heading2"/>
      </w:pPr>
      <w:r>
        <w:t xml:space="preserve">Lesson 4 Summary</w:t>
      </w:r>
    </w:p>
    <w:p>
      <w:pPr>
        <w:pStyle w:val="FirstParagraph"/>
      </w:pPr>
      <w:r>
        <w:t xml:space="preserve">Here is a graph showing the luminescence of a glow-in-the-dark paint, measured in lumens, over a period of time, measured in hours. The luminescence of this glow-in-the-dark paint can be modeled by an exponential function.</w:t>
      </w:r>
    </w:p>
    <w:p>
      <w:pPr>
        <w:pStyle w:val="BodyText"/>
      </w:pPr>
      <w:r>
        <w:drawing>
          <wp:inline>
            <wp:extent cx="2986836" cy="2711310"/>
            <wp:effectExtent b="0" l="0" r="0" t="0"/>
            <wp:docPr descr="A graph comparing luminescence (lumens) over time (hours) with 7 data points including $(0,12)$, $(1,6)$, $(2,3)$, and $(3,1.5)$." title="" id="34" name="Picture"/>
            <a:graphic>
              <a:graphicData uri="http://schemas.openxmlformats.org/drawingml/2006/picture">
                <pic:pic>
                  <pic:nvPicPr>
                    <pic:cNvPr descr="/app/tmp/embedder-1732015527.6555383.png" id="35" name="Picture"/>
                    <pic:cNvPicPr>
                      <a:picLocks noChangeArrowheads="1" noChangeAspect="1"/>
                    </pic:cNvPicPr>
                  </pic:nvPicPr>
                  <pic:blipFill>
                    <a:blip r:embed="rId33"/>
                    <a:stretch>
                      <a:fillRect/>
                    </a:stretch>
                  </pic:blipFill>
                  <pic:spPr bwMode="auto">
                    <a:xfrm>
                      <a:off x="0" y="0"/>
                      <a:ext cx="2986836" cy="2711310"/>
                    </a:xfrm>
                    <a:prstGeom prst="rect">
                      <a:avLst/>
                    </a:prstGeom>
                    <a:noFill/>
                    <a:ln w="9525">
                      <a:noFill/>
                      <a:headEnd/>
                      <a:tailEnd/>
                    </a:ln>
                  </pic:spPr>
                </pic:pic>
              </a:graphicData>
            </a:graphic>
          </wp:inline>
        </w:drawing>
      </w:r>
    </w:p>
    <w:p>
      <w:pPr>
        <w:pStyle w:val="BodyText"/>
      </w:pPr>
      <w:r>
        <w:t xml:space="preserve">Notice that the amounts are decreasing over time. The graph includes the point</w:t>
      </w:r>
      <w:r>
        <w:t xml:space="preserve"> </w:t>
      </w:r>
      <m:oMath>
        <m:d>
          <m:dPr>
            <m:begChr m:val="("/>
            <m:endChr m:val=")"/>
            <m:sepChr m:val=""/>
            <m:grow/>
          </m:dPr>
          <m:e>
            <m:r>
              <m:t>0</m:t>
            </m:r>
            <m:r>
              <m:rPr>
                <m:sty m:val="p"/>
              </m:rPr>
              <m:t>,</m:t>
            </m:r>
            <m:r>
              <m:t>12</m:t>
            </m:r>
          </m:e>
        </m:d>
      </m:oMath>
      <w:r>
        <w:t xml:space="preserve">. This means that when the glow-in-the-dark paint started glowing, its glow measured 12 lumens. The point</w:t>
      </w:r>
      <w:r>
        <w:t xml:space="preserve"> </w:t>
      </w:r>
      <m:oMath>
        <m:d>
          <m:dPr>
            <m:begChr m:val="("/>
            <m:endChr m:val=")"/>
            <m:sepChr m:val=""/>
            <m:grow/>
          </m:dPr>
          <m:e>
            <m:r>
              <m:t>1</m:t>
            </m:r>
            <m:r>
              <m:rPr>
                <m:sty m:val="p"/>
              </m:rPr>
              <m:t>,</m:t>
            </m:r>
            <m:r>
              <m:t>6</m:t>
            </m:r>
          </m:e>
        </m:d>
      </m:oMath>
      <w:r>
        <w:t xml:space="preserve"> </w:t>
      </w:r>
      <w:r>
        <w:t xml:space="preserve">tells us the glow measured 6 lumens 1 hour later. Between 3 and 4 hours after the glow-in-the-dark paint began to glow, the luminescence fell below 1 lumen.</w:t>
      </w:r>
    </w:p>
    <w:p>
      <w:pPr>
        <w:pStyle w:val="BodyText"/>
      </w:pPr>
      <w:r>
        <w:t xml:space="preserve">We can use the graph to find out what fraction of luminescence stays each hour. Notice that</w:t>
      </w:r>
      <w:r>
        <w:t xml:space="preserve"> </w:t>
      </w:r>
      <m:oMath>
        <m:f>
          <m:fPr>
            <m:type m:val="bar"/>
          </m:fPr>
          <m:num>
            <m:r>
              <m:t>6</m:t>
            </m:r>
          </m:num>
          <m:den>
            <m:r>
              <m:t>12</m:t>
            </m:r>
          </m:den>
        </m:f>
        <m:r>
          <m:rPr>
            <m:sty m:val="p"/>
          </m:rPr>
          <m:t>=</m:t>
        </m:r>
        <m:f>
          <m:fPr>
            <m:type m:val="bar"/>
          </m:fPr>
          <m:num>
            <m:r>
              <m:t>1</m:t>
            </m:r>
          </m:num>
          <m:den>
            <m:r>
              <m:t>2</m:t>
            </m:r>
          </m:den>
        </m:f>
      </m:oMath>
      <w:r>
        <w:t xml:space="preserve"> </w:t>
      </w:r>
      <w:r>
        <w:t xml:space="preserve">and</w:t>
      </w:r>
      <w:r>
        <w:t xml:space="preserve"> </w:t>
      </w:r>
      <m:oMath>
        <m:f>
          <m:fPr>
            <m:type m:val="bar"/>
          </m:fPr>
          <m:num>
            <m:r>
              <m:t>3</m:t>
            </m:r>
          </m:num>
          <m:den>
            <m:r>
              <m:t>6</m:t>
            </m:r>
          </m:den>
        </m:f>
        <m:r>
          <m:rPr>
            <m:sty m:val="p"/>
          </m:rPr>
          <m:t>=</m:t>
        </m:r>
        <m:f>
          <m:fPr>
            <m:type m:val="bar"/>
          </m:fPr>
          <m:num>
            <m:r>
              <m:t>1</m:t>
            </m:r>
          </m:num>
          <m:den>
            <m:r>
              <m:t>2</m:t>
            </m:r>
          </m:den>
        </m:f>
      </m:oMath>
      <w:r>
        <w:t xml:space="preserve">. As each hour passes, the luminescence that stays is multiplied by a factor of</w:t>
      </w:r>
      <w:r>
        <w:t xml:space="preserve"> </w:t>
      </w:r>
      <m:oMath>
        <m:f>
          <m:fPr>
            <m:type m:val="bar"/>
          </m:fPr>
          <m:num>
            <m:r>
              <m:t>1</m:t>
            </m:r>
          </m:num>
          <m:den>
            <m:r>
              <m:t>2</m:t>
            </m:r>
          </m:den>
        </m:f>
      </m:oMath>
      <w:r>
        <w:t xml:space="preserve">.</w:t>
      </w:r>
    </w:p>
    <w:p>
      <w:pPr>
        <w:pStyle w:val="BodyText"/>
      </w:pPr>
      <w:r>
        <w:t xml:space="preserve">If</w:t>
      </w:r>
      <w:r>
        <w:t xml:space="preserve"> </w:t>
      </w:r>
      <m:oMath>
        <m:r>
          <m:t>y</m:t>
        </m:r>
      </m:oMath>
      <w:r>
        <w:t xml:space="preserve"> </w:t>
      </w:r>
      <w:r>
        <w:t xml:space="preserve">is the luminescence, in lumens, and</w:t>
      </w:r>
      <w:r>
        <w:t xml:space="preserve"> </w:t>
      </w:r>
      <m:oMath>
        <m:r>
          <m:t>t</m:t>
        </m:r>
      </m:oMath>
      <w:r>
        <w:t xml:space="preserve"> </w:t>
      </w:r>
      <w:r>
        <w:t xml:space="preserve">is time, in hours, then this situation is modeled by the equation:</w:t>
      </w:r>
    </w:p>
    <w:p>
      <w:pPr>
        <w:pStyle w:val="BodyText"/>
      </w:pPr>
      <m:oMath>
        <m:r>
          <m:t>y</m:t>
        </m:r>
        <m:r>
          <m:rPr>
            <m:sty m:val="p"/>
          </m:rPr>
          <m:t>=</m:t>
        </m:r>
        <m:r>
          <m:t>12</m:t>
        </m:r>
        <m:r>
          <m:rPr>
            <m:sty m:val="p"/>
          </m:rPr>
          <m:t>⋅</m:t>
        </m:r>
        <m:sSup>
          <m:e>
            <m:d>
              <m:dPr>
                <m:begChr m:val="("/>
                <m:endChr m:val=")"/>
                <m:sepChr m:val=""/>
                <m:grow/>
              </m:dPr>
              <m:e>
                <m:f>
                  <m:fPr>
                    <m:type m:val="bar"/>
                  </m:fPr>
                  <m:num>
                    <m:r>
                      <m:t>1</m:t>
                    </m:r>
                  </m:num>
                  <m:den>
                    <m:r>
                      <m:t>2</m:t>
                    </m:r>
                  </m:den>
                </m:f>
              </m:e>
            </m:d>
          </m:e>
          <m:sup>
            <m:r>
              <m:t>t</m:t>
            </m:r>
          </m:sup>
        </m:sSup>
      </m:oMath>
    </w:p>
    <w:p>
      <w:pPr>
        <w:pStyle w:val="BodyText"/>
      </w:pPr>
      <w:r>
        <w:t xml:space="preserve">We can confirm that the data is changing exponentially because it is multiplied by the same value each time. When the growth factor is between 0 and 1, the quantity being multiplied decreases, the situation is sometimes called “exponential decay,” and the growth factor may be called a “decay factor.”</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2024-11-19T11:25:28Z</dcterms:created>
  <dcterms:modified xsi:type="dcterms:W3CDTF">2024-11-19T11:25:28Z</dcterms:modified>
</cp:coreProperties>
</file>

<file path=docProps/custom.xml><?xml version="1.0" encoding="utf-8"?>
<Properties xmlns="http://schemas.openxmlformats.org/officeDocument/2006/custom-properties" xmlns:vt="http://schemas.openxmlformats.org/officeDocument/2006/docPropsVTypes"/>
</file>