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the-pythagorean-identity-part-2"/>
    <w:p>
      <w:pPr>
        <w:pStyle w:val="Heading2"/>
      </w:pPr>
      <w:r>
        <w:t xml:space="preserve">Lesson 6: The Pythagorean Identity (Part 2)</w:t>
      </w:r>
    </w:p>
    <w:bookmarkEnd w:id="20"/>
    <w:p>
      <w:pPr>
        <w:pStyle w:val="FirstParagraph"/>
      </w:pPr>
      <w:r>
        <w:t xml:space="preserve">Let’s use the Pythagorean Identity.</w:t>
      </w:r>
    </w:p>
    <w:bookmarkStart w:id="21" w:name="math-talk-which-quadrant"/>
    <w:p>
      <w:pPr>
        <w:pStyle w:val="Heading3"/>
      </w:pPr>
      <w:r>
        <w:t xml:space="preserve">6.1: Math Talk: Which Quadrant?</w:t>
      </w:r>
    </w:p>
    <w:p>
      <w:pPr>
        <w:pStyle w:val="FirstParagraph"/>
      </w:pPr>
      <w:r>
        <w:t xml:space="preserve">For an angle</w:t>
      </w:r>
      <w:r>
        <w:t xml:space="preserve"> </w:t>
      </w:r>
      <m:oMath>
        <m:r>
          <m:t>θ</m:t>
        </m:r>
      </m:oMath>
      <w:r>
        <w:t xml:space="preserve"> </w:t>
      </w:r>
      <w:r>
        <w:t xml:space="preserve">in the quadrant indicated, use mental estimation to identify the values of</w:t>
      </w:r>
      <w:r>
        <w:t xml:space="preserve"> </w:t>
      </w:r>
      <m:oMath>
        <m:r>
          <m:rPr>
            <m:sty m:val="p"/>
          </m:rPr>
          <m:t>cos</m:t>
        </m:r>
        <m:d>
          <m:dPr>
            <m:begChr m:val="("/>
            <m:endChr m:val=")"/>
            <m:sepChr m:val=""/>
            <m:grow/>
          </m:dPr>
          <m:e>
            <m:r>
              <m:t>θ</m:t>
            </m:r>
          </m:e>
        </m:d>
      </m:oMath>
      <w:r>
        <w:t xml:space="preserve">,</w:t>
      </w:r>
      <w:r>
        <w:t xml:space="preserve"> </w:t>
      </w:r>
      <m:oMath>
        <m:r>
          <m:rPr>
            <m:sty m:val="p"/>
          </m:rPr>
          <m:t>sin</m:t>
        </m:r>
        <m:d>
          <m:dPr>
            <m:begChr m:val="("/>
            <m:endChr m:val=")"/>
            <m:sepChr m:val=""/>
            <m:grow/>
          </m:dPr>
          <m:e>
            <m:r>
              <m:t>θ</m:t>
            </m:r>
          </m:e>
        </m:d>
      </m:oMath>
      <w:r>
        <w:t xml:space="preserve">, and</w:t>
      </w:r>
      <w:r>
        <w:t xml:space="preserve"> </w:t>
      </w:r>
      <m:oMath>
        <m:r>
          <m:rPr>
            <m:sty m:val="p"/>
          </m:rPr>
          <m:t>tan</m:t>
        </m:r>
        <m:d>
          <m:dPr>
            <m:begChr m:val="("/>
            <m:endChr m:val=")"/>
            <m:sepChr m:val=""/>
            <m:grow/>
          </m:dPr>
          <m:e>
            <m:r>
              <m:t>θ</m:t>
            </m:r>
          </m:e>
        </m:d>
      </m:oMath>
      <w:r>
        <w:t xml:space="preserve"> as either positive or negative.</w:t>
      </w:r>
    </w:p>
    <w:p>
      <w:pPr>
        <w:pStyle w:val="BodyText"/>
      </w:pPr>
      <w:r>
        <w:t xml:space="preserve">Quadrant 1</w:t>
      </w:r>
    </w:p>
    <w:p>
      <w:pPr>
        <w:pStyle w:val="BodyText"/>
      </w:pPr>
      <w:r>
        <w:t xml:space="preserve">Quadrant 2</w:t>
      </w:r>
    </w:p>
    <w:p>
      <w:pPr>
        <w:pStyle w:val="BodyText"/>
      </w:pPr>
      <w:r>
        <w:t xml:space="preserve">Quadrant 3</w:t>
      </w:r>
    </w:p>
    <w:p>
      <w:pPr>
        <w:pStyle w:val="BodyText"/>
      </w:pPr>
      <w:r>
        <w:t xml:space="preserve">Quadrant 4</w:t>
      </w:r>
    </w:p>
    <w:bookmarkEnd w:id="21"/>
    <w:bookmarkStart w:id="22" w:name="andres-calculations"/>
    <w:p>
      <w:pPr>
        <w:pStyle w:val="Heading3"/>
      </w:pPr>
      <w:r>
        <w:t xml:space="preserve">6.2: Andre's Calculations</w:t>
      </w:r>
    </w:p>
    <w:p>
      <w:pPr>
        <w:pStyle w:val="FirstParagraph"/>
      </w:pPr>
      <w:r>
        <w:t xml:space="preserve">Suppose that the angle</w:t>
      </w:r>
      <w:r>
        <w:t xml:space="preserve"> </w:t>
      </w:r>
      <m:oMath>
        <m:r>
          <m:t>θ</m:t>
        </m:r>
      </m:oMath>
      <w:r>
        <w:t xml:space="preserve">, in radians, is in quadrant 4 of the unit circle. If</w:t>
      </w:r>
      <w:r>
        <w:t xml:space="preserve"> </w:t>
      </w:r>
      <m:oMath>
        <m:r>
          <m:rPr>
            <m:sty m:val="p"/>
          </m:rPr>
          <m:t>cos</m:t>
        </m:r>
        <m:d>
          <m:dPr>
            <m:begChr m:val="("/>
            <m:endChr m:val=")"/>
            <m:sepChr m:val=""/>
            <m:grow/>
          </m:dPr>
          <m:e>
            <m:r>
              <m:t>θ</m:t>
            </m:r>
          </m:e>
        </m:d>
        <m:r>
          <m:rPr>
            <m:sty m:val="p"/>
          </m:rPr>
          <m:t>=</m:t>
        </m:r>
        <m:r>
          <m:t>0.28</m:t>
        </m:r>
      </m:oMath>
      <w:r>
        <w:t xml:space="preserve">, what are the values of</w:t>
      </w:r>
      <w:r>
        <w:t xml:space="preserve"> </w:t>
      </w:r>
      <m:oMath>
        <m:r>
          <m:rPr>
            <m:sty m:val="p"/>
          </m:rPr>
          <m:t>sin</m:t>
        </m:r>
        <m:d>
          <m:dPr>
            <m:begChr m:val="("/>
            <m:endChr m:val=")"/>
            <m:sepChr m:val=""/>
            <m:grow/>
          </m:dPr>
          <m:e>
            <m:r>
              <m:t>θ</m:t>
            </m:r>
          </m:e>
        </m:d>
      </m:oMath>
      <w:r>
        <w:t xml:space="preserve"> </w:t>
      </w:r>
      <w:r>
        <w:t xml:space="preserve">and</w:t>
      </w:r>
      <w:r>
        <w:t xml:space="preserve"> </w:t>
      </w:r>
      <m:oMath>
        <m:r>
          <m:rPr>
            <m:sty m:val="p"/>
          </m:rPr>
          <m:t>tan</m:t>
        </m:r>
        <m:d>
          <m:dPr>
            <m:begChr m:val="("/>
            <m:endChr m:val=")"/>
            <m:sepChr m:val=""/>
            <m:grow/>
          </m:dPr>
          <m:e>
            <m:r>
              <m:t>θ</m:t>
            </m:r>
          </m:e>
        </m:d>
      </m:oMath>
      <w:r>
        <w:t xml:space="preserve">?</w:t>
      </w:r>
    </w:p>
    <w:p>
      <w:pPr>
        <w:pStyle w:val="BodyText"/>
      </w:pPr>
      <w:r>
        <w:t xml:space="preserve">Andre uses the Pythagorean Identity and determines that the value of</w:t>
      </w:r>
      <w:r>
        <w:t xml:space="preserve"> </w:t>
      </w:r>
      <m:oMath>
        <m:r>
          <m:rPr>
            <m:sty m:val="p"/>
          </m:rPr>
          <m:t>sin</m:t>
        </m:r>
        <m:d>
          <m:dPr>
            <m:begChr m:val="("/>
            <m:endChr m:val=")"/>
            <m:sepChr m:val=""/>
            <m:grow/>
          </m:dPr>
          <m:e>
            <m:r>
              <m:t>θ</m:t>
            </m:r>
          </m:e>
        </m:d>
      </m:oMath>
      <w:r>
        <w:t xml:space="preserve"> </w:t>
      </w:r>
      <w:r>
        <w:t xml:space="preserve">is -0.96. Using the values of sine and cosine, he then calculates the value of tangent:</w:t>
      </w:r>
    </w:p>
    <w:p>
      <w:pPr>
        <w:pStyle w:val="BodyText"/>
      </w:pPr>
      <m:oMath>
        <m:m>
          <m:mPr>
            <m:baseJc m:val="center"/>
            <m:plcHide m:val="1"/>
            <m:mcs>
              <m:mc>
                <m:mcPr>
                  <m:mcJc m:val="center"/>
                  <m:count m:val="1"/>
                </m:mcPr>
              </m:mc>
              <m:mc>
                <m:mcPr>
                  <m:mcJc m:val="center"/>
                  <m:count m:val="1"/>
                </m:mcPr>
              </m:mc>
            </m:mcs>
          </m:mPr>
          <m:mr>
            <m:e>
              <m:r>
                <m:rPr>
                  <m:sty m:val="p"/>
                </m:rPr>
                <m:t>tan</m:t>
              </m:r>
              <m:d>
                <m:dPr>
                  <m:begChr m:val="("/>
                  <m:endChr m:val=")"/>
                  <m:sepChr m:val=""/>
                  <m:grow/>
                </m:dPr>
                <m:e>
                  <m:r>
                    <m:t>θ</m:t>
                  </m:r>
                </m:e>
              </m:d>
            </m:e>
            <m:e>
              <m:r>
                <m:rPr>
                  <m:sty m:val="p"/>
                </m:rPr>
                <m:t>=</m:t>
              </m:r>
              <m:f>
                <m:fPr>
                  <m:type m:val="bar"/>
                </m:fPr>
                <m:num>
                  <m:r>
                    <m:rPr>
                      <m:sty m:val="p"/>
                    </m:rPr>
                    <m:t>sin</m:t>
                  </m:r>
                  <m:d>
                    <m:dPr>
                      <m:begChr m:val="("/>
                      <m:endChr m:val=")"/>
                      <m:sepChr m:val=""/>
                      <m:grow/>
                    </m:dPr>
                    <m:e>
                      <m:r>
                        <m:t>θ</m:t>
                      </m:r>
                    </m:e>
                  </m:d>
                </m:num>
                <m:den>
                  <m:r>
                    <m:rPr>
                      <m:sty m:val="p"/>
                    </m:rPr>
                    <m:t>cos</m:t>
                  </m:r>
                  <m:d>
                    <m:dPr>
                      <m:begChr m:val="("/>
                      <m:endChr m:val=")"/>
                      <m:sepChr m:val=""/>
                      <m:grow/>
                    </m:dPr>
                    <m:e>
                      <m:r>
                        <m:t>θ</m:t>
                      </m:r>
                    </m:e>
                  </m:d>
                </m:den>
              </m:f>
            </m:e>
          </m:mr>
          <m:mr>
            <m:e/>
            <m:e>
              <m:r>
                <m:rPr>
                  <m:sty m:val="p"/>
                </m:rPr>
                <m:t>=</m:t>
              </m:r>
              <m:f>
                <m:fPr>
                  <m:type m:val="bar"/>
                </m:fPr>
                <m:num>
                  <m:r>
                    <m:rPr>
                      <m:nor/>
                      <m:sty m:val="p"/>
                    </m:rPr>
                    <m:t>-</m:t>
                  </m:r>
                  <m:r>
                    <m:t>0.96</m:t>
                  </m:r>
                </m:num>
                <m:den>
                  <m:r>
                    <m:t>0.28</m:t>
                  </m:r>
                </m:den>
              </m:f>
            </m:e>
          </m:mr>
          <m:mr>
            <m:e/>
            <m:e>
              <m:r>
                <m:rPr>
                  <m:sty m:val="p"/>
                </m:rPr>
                <m:t>≈</m:t>
              </m:r>
              <m:r>
                <m:rPr>
                  <m:nor/>
                  <m:sty m:val="p"/>
                </m:rPr>
                <m:t>-</m:t>
              </m:r>
              <m:r>
                <m:t>3.43</m:t>
              </m:r>
            </m:e>
          </m:mr>
        </m:m>
      </m:oMath>
    </w:p>
    <w:p>
      <w:pPr>
        <w:pStyle w:val="BodyText"/>
      </w:pPr>
      <w:r>
        <w:t xml:space="preserve">Do you agree with Andre? Explain or show your reasoning.</w:t>
      </w:r>
    </w:p>
    <w:bookmarkEnd w:id="22"/>
    <w:bookmarkStart w:id="24" w:name="card-sort-wheres-the-point"/>
    <w:p>
      <w:pPr>
        <w:pStyle w:val="Heading3"/>
      </w:pPr>
      <w:r>
        <w:t xml:space="preserve">6.3: Card Sort: Where's the Point?</w:t>
      </w:r>
    </w:p>
    <w:p>
      <w:pPr>
        <w:pStyle w:val="FirstParagraph"/>
      </w:pPr>
      <w:r>
        <w:t xml:space="preserve">Your teacher will give you a set of cards that should be arranged face up with cards showing values for sine, cosine, and tangent on one side and cards showing quadrants on the other.</w:t>
      </w:r>
    </w:p>
    <w:p>
      <w:pPr>
        <w:numPr>
          <w:ilvl w:val="0"/>
          <w:numId w:val="1001"/>
        </w:numPr>
        <w:pStyle w:val="Compact"/>
      </w:pPr>
      <w:r>
        <w:t xml:space="preserve">Take turns with your partner matching pairs of cards. Identify 2 pairs that are possible on the unit circle and 2 pairs that are not possible, in any order.</w:t>
      </w:r>
    </w:p>
    <w:p>
      <w:pPr>
        <w:numPr>
          <w:ilvl w:val="1"/>
          <w:numId w:val="1002"/>
        </w:numPr>
        <w:pStyle w:val="Compact"/>
      </w:pPr>
      <w:r>
        <w:t xml:space="preserve">For each pair, explain to your partner how you know if the pair is or is not possible on the unit circle. Once a pair is identified, place the cards in front of you to use later.</w:t>
      </w:r>
    </w:p>
    <w:p>
      <w:pPr>
        <w:numPr>
          <w:ilvl w:val="1"/>
          <w:numId w:val="1002"/>
        </w:numPr>
        <w:pStyle w:val="Compact"/>
      </w:pPr>
      <w:r>
        <w:t xml:space="preserve">For each pair that your partner draws, listen carefully to their explanation. If you disagree, discuss your thinking and work to reach an agreement.</w:t>
      </w:r>
    </w:p>
    <w:p>
      <w:pPr>
        <w:numPr>
          <w:ilvl w:val="0"/>
          <w:numId w:val="1001"/>
        </w:numPr>
        <w:pStyle w:val="Compact"/>
      </w:pPr>
      <w:r>
        <w:t xml:space="preserve">Once you and your partner have identified 4 pairs each, pick 1 of your possible matches and then calculate the values of the two missing trigonometric ratios for that match. When you finish, trade calculations with your partner and check each other's work. If you disagree, discuss your thinking and work to reach an agreement.</w:t>
      </w:r>
    </w:p>
    <w:bookmarkStart w:id="23" w:name="are-you-ready-for-more"/>
    <w:p>
      <w:pPr>
        <w:pStyle w:val="Heading4"/>
      </w:pPr>
      <w:r>
        <w:t xml:space="preserve">Are you ready for more?</w:t>
      </w:r>
    </w:p>
    <w:p>
      <w:pPr>
        <w:pStyle w:val="FirstParagraph"/>
      </w:pPr>
      <w:r>
        <w:t xml:space="preserve">Suppose</w:t>
      </w:r>
      <w:r>
        <w:t xml:space="preserve"> </w:t>
      </w:r>
      <m:oMath>
        <m:r>
          <m:rPr>
            <m:sty m:val="p"/>
          </m:rPr>
          <m:t>tan</m:t>
        </m:r>
        <m:d>
          <m:dPr>
            <m:begChr m:val="("/>
            <m:endChr m:val=")"/>
            <m:sepChr m:val=""/>
            <m:grow/>
          </m:dPr>
          <m:e>
            <m:r>
              <m:t>θ</m:t>
            </m:r>
          </m:e>
        </m:d>
        <m:r>
          <m:rPr>
            <m:sty m:val="p"/>
          </m:rPr>
          <m:t>=</m:t>
        </m:r>
        <m:r>
          <m:t>2</m:t>
        </m:r>
      </m:oMath>
      <w:r>
        <w:t xml:space="preserve"> </w:t>
      </w:r>
      <w:r>
        <w:t xml:space="preserve">and the angle</w:t>
      </w:r>
      <w:r>
        <w:t xml:space="preserve"> </w:t>
      </w:r>
      <m:oMath>
        <m:r>
          <m:t>θ</m:t>
        </m:r>
      </m:oMath>
      <w:r>
        <w:t xml:space="preserve"> </w:t>
      </w:r>
      <w:r>
        <w:t xml:space="preserve">is in quadrant 1. Find the values of</w:t>
      </w:r>
      <w:r>
        <w:t xml:space="preserve"> </w:t>
      </w:r>
      <m:oMath>
        <m:r>
          <m:rPr>
            <m:sty m:val="p"/>
          </m:rPr>
          <m:t>cos</m:t>
        </m:r>
        <m:d>
          <m:dPr>
            <m:begChr m:val="("/>
            <m:endChr m:val=")"/>
            <m:sepChr m:val=""/>
            <m:grow/>
          </m:dPr>
          <m:e>
            <m:r>
              <m:t>θ</m:t>
            </m:r>
          </m:e>
        </m:d>
      </m:oMath>
      <w:r>
        <w:t xml:space="preserve"> </w:t>
      </w:r>
      <w:r>
        <w:t xml:space="preserve">and</w:t>
      </w:r>
      <w:r>
        <w:t xml:space="preserve"> </w:t>
      </w:r>
      <m:oMath>
        <m:r>
          <m:rPr>
            <m:sty m:val="p"/>
          </m:rPr>
          <m:t>sin</m:t>
        </m:r>
        <m:d>
          <m:dPr>
            <m:begChr m:val="("/>
            <m:endChr m:val=")"/>
            <m:sepChr m:val=""/>
            <m:grow/>
          </m:dPr>
          <m:e>
            <m:r>
              <m:t>θ</m:t>
            </m:r>
          </m:e>
        </m:d>
      </m:oMath>
      <w:r>
        <w:t xml:space="preserve">.</w:t>
      </w:r>
    </w:p>
    <w:bookmarkEnd w:id="23"/>
    <w:bookmarkEnd w:id="24"/>
    <w:bookmarkStart w:id="31" w:name="lesson-6-summary"/>
    <w:p>
      <w:pPr>
        <w:pStyle w:val="Heading3"/>
      </w:pPr>
      <w:r>
        <w:t xml:space="preserve">Lesson 6 Summary</w:t>
      </w:r>
    </w:p>
    <w:p>
      <w:pPr>
        <w:pStyle w:val="FirstParagraph"/>
      </w:pPr>
      <w:r>
        <w:t xml:space="preserve">Say we know that</w:t>
      </w:r>
      <w:r>
        <w:t xml:space="preserve"> </w:t>
      </w:r>
      <m:oMath>
        <m:r>
          <m:rPr>
            <m:sty m:val="p"/>
          </m:rPr>
          <m:t>sin</m:t>
        </m:r>
        <m:d>
          <m:dPr>
            <m:begChr m:val="("/>
            <m:endChr m:val=")"/>
            <m:sepChr m:val=""/>
            <m:grow/>
          </m:dPr>
          <m:e>
            <m:r>
              <m:t>θ</m:t>
            </m:r>
          </m:e>
        </m:d>
        <m:r>
          <m:rPr>
            <m:sty m:val="p"/>
          </m:rPr>
          <m:t>=</m:t>
        </m:r>
        <m:r>
          <m:rPr>
            <m:nor/>
            <m:sty m:val="p"/>
          </m:rPr>
          <m:t>-</m:t>
        </m:r>
        <m:f>
          <m:fPr>
            <m:type m:val="bar"/>
          </m:fPr>
          <m:num>
            <m:rad>
              <m:radPr>
                <m:degHide m:val="1"/>
              </m:radPr>
              <m:deg/>
              <m:e>
                <m:r>
                  <m:t>2</m:t>
                </m:r>
              </m:e>
            </m:rad>
          </m:num>
          <m:den>
            <m:r>
              <m:t>2</m:t>
            </m:r>
          </m:den>
        </m:f>
      </m:oMath>
      <w:r>
        <w:t xml:space="preserve"> </w:t>
      </w:r>
      <w:r>
        <w:t xml:space="preserve">and that</w:t>
      </w:r>
      <w:r>
        <w:t xml:space="preserve"> </w:t>
      </w:r>
      <m:oMath>
        <m:r>
          <m:t>θ</m:t>
        </m:r>
      </m:oMath>
      <w:r>
        <w:t xml:space="preserve"> </w:t>
      </w:r>
      <w:r>
        <w:t xml:space="preserve">is an angle in quadrant 3. What can we say about the values of cosine and tangent at</w:t>
      </w:r>
      <w:r>
        <w:t xml:space="preserve"> </w:t>
      </w:r>
      <m:oMath>
        <m:r>
          <m:t>θ</m:t>
        </m:r>
      </m:oMath>
      <w:r>
        <w:t xml:space="preserve">?</w:t>
      </w:r>
    </w:p>
    <w:p>
      <w:pPr>
        <w:pStyle w:val="BodyText"/>
      </w:pPr>
      <w:r>
        <w:t xml:space="preserve">Since we can think of</w:t>
      </w:r>
      <w:r>
        <w:t xml:space="preserve"> </w:t>
      </w:r>
      <m:oMath>
        <m:r>
          <m:rPr>
            <m:sty m:val="p"/>
          </m:rPr>
          <m:t>sin</m:t>
        </m:r>
        <m:d>
          <m:dPr>
            <m:begChr m:val="("/>
            <m:endChr m:val=")"/>
            <m:sepChr m:val=""/>
            <m:grow/>
          </m:dPr>
          <m:e>
            <m:r>
              <m:t>θ</m:t>
            </m:r>
          </m:e>
        </m:d>
      </m:oMath>
      <w:r>
        <w:t xml:space="preserve"> </w:t>
      </w:r>
      <w:r>
        <w:t xml:space="preserve">as the</w:t>
      </w:r>
      <w:r>
        <w:t xml:space="preserve"> </w:t>
      </w:r>
      <m:oMath>
        <m:r>
          <m:t>y</m:t>
        </m:r>
      </m:oMath>
      <w:r>
        <w:t xml:space="preserve">-coordinate of a point</w:t>
      </w:r>
      <w:r>
        <w:t xml:space="preserve"> </w:t>
      </w:r>
      <m:oMath>
        <m:r>
          <m:t>P</m:t>
        </m:r>
      </m:oMath>
      <w:r>
        <w:t xml:space="preserve"> </w:t>
      </w:r>
      <w:r>
        <w:t xml:space="preserve">in quadrant 3, let’s start with a sketch of the unit circle showing point</w:t>
      </w:r>
      <w:r>
        <w:t xml:space="preserve"> </w:t>
      </w:r>
      <m:oMath>
        <m:r>
          <m:t>P</m:t>
        </m:r>
      </m:oMath>
      <w:r>
        <w:t xml:space="preserve">.</w:t>
      </w:r>
    </w:p>
    <w:p>
      <w:pPr>
        <w:pStyle w:val="BodyText"/>
      </w:pPr>
      <w:r>
        <w:drawing>
          <wp:inline>
            <wp:extent cx="1363510" cy="1363510"/>
            <wp:effectExtent b="0" l="0" r="0" t="0"/>
            <wp:docPr descr="Circle on the coordinate plane, center at the origin. Point P on the circle in the third quadrant, central angle counter-clockwise from positive x axis has measure theta." title="" id="26" name="Picture"/>
            <a:graphic>
              <a:graphicData uri="http://schemas.openxmlformats.org/drawingml/2006/picture">
                <pic:pic>
                  <pic:nvPicPr>
                    <pic:cNvPr descr="/app/tmp/embedder-1671002263.0500572.png" id="27" name="Picture"/>
                    <pic:cNvPicPr>
                      <a:picLocks noChangeArrowheads="1" noChangeAspect="1"/>
                    </pic:cNvPicPr>
                  </pic:nvPicPr>
                  <pic:blipFill>
                    <a:blip r:embed="rId25"/>
                    <a:stretch>
                      <a:fillRect/>
                    </a:stretch>
                  </pic:blipFill>
                  <pic:spPr bwMode="auto">
                    <a:xfrm>
                      <a:off x="0" y="0"/>
                      <a:ext cx="1363510" cy="1363510"/>
                    </a:xfrm>
                    <a:prstGeom prst="rect">
                      <a:avLst/>
                    </a:prstGeom>
                    <a:noFill/>
                    <a:ln w="9525">
                      <a:noFill/>
                      <a:headEnd/>
                      <a:tailEnd/>
                    </a:ln>
                  </pic:spPr>
                </pic:pic>
              </a:graphicData>
            </a:graphic>
          </wp:inline>
        </w:drawing>
      </w:r>
    </w:p>
    <w:p>
      <w:pPr>
        <w:pStyle w:val="BodyText"/>
      </w:pPr>
      <w:r>
        <w:t xml:space="preserve">The sketch helps us see that the</w:t>
      </w:r>
      <w:r>
        <w:t xml:space="preserve"> </w:t>
      </w:r>
      <m:oMath>
        <m:r>
          <m:t>x</m:t>
        </m:r>
      </m:oMath>
      <w:r>
        <w:t xml:space="preserve">-coordinate, which is</w:t>
      </w:r>
      <w:r>
        <w:t xml:space="preserve"> </w:t>
      </w:r>
      <m:oMath>
        <m:r>
          <m:rPr>
            <m:sty m:val="p"/>
          </m:rPr>
          <m:t>cos</m:t>
        </m:r>
        <m:d>
          <m:dPr>
            <m:begChr m:val="("/>
            <m:endChr m:val=")"/>
            <m:sepChr m:val=""/>
            <m:grow/>
          </m:dPr>
          <m:e>
            <m:r>
              <m:t>θ</m:t>
            </m:r>
          </m:e>
        </m:d>
      </m:oMath>
      <w:r>
        <w:t xml:space="preserve">, is also negative. Using the Pythagorean Identity, we can calculate the value of</w:t>
      </w:r>
      <w:r>
        <w:t xml:space="preserve"> </w:t>
      </w:r>
      <m:oMath>
        <m:r>
          <m:rPr>
            <m:sty m:val="p"/>
          </m:rPr>
          <m:t>cos</m:t>
        </m:r>
        <m:d>
          <m:dPr>
            <m:begChr m:val="("/>
            <m:endChr m:val=")"/>
            <m:sepChr m:val=""/>
            <m:grow/>
          </m:dPr>
          <m:e>
            <m:r>
              <m:t>θ</m:t>
            </m:r>
          </m:e>
        </m:d>
      </m:oMath>
      <w:r>
        <w:t xml:space="preserve">:</w:t>
      </w:r>
    </w:p>
    <w:p>
      <w:pPr>
        <w:pStyle w:val="BodyText"/>
      </w:pPr>
      <m:oMath>
        <m:m>
          <m:mPr>
            <m:baseJc m:val="center"/>
            <m:plcHide m:val="1"/>
            <m:mcs>
              <m:mc>
                <m:mcPr>
                  <m:mcJc m:val="center"/>
                  <m:count m:val="1"/>
                </m:mcPr>
              </m:mc>
              <m:mc>
                <m:mcPr>
                  <m:mcJc m:val="center"/>
                  <m:count m:val="1"/>
                </m:mcPr>
              </m:mc>
            </m:mcs>
          </m:mPr>
          <m:mr>
            <m:e>
              <m:sSup>
                <m:e>
                  <m:r>
                    <m:rPr>
                      <m:sty m:val="p"/>
                    </m:rPr>
                    <m:t>cos</m:t>
                  </m:r>
                </m:e>
                <m:sup>
                  <m:r>
                    <m:t>2</m:t>
                  </m:r>
                </m:sup>
              </m:sSup>
              <m:d>
                <m:dPr>
                  <m:begChr m:val="("/>
                  <m:endChr m:val=")"/>
                  <m:sepChr m:val=""/>
                  <m:grow/>
                </m:dPr>
                <m:e>
                  <m:r>
                    <m:t>θ</m:t>
                  </m:r>
                </m:e>
              </m:d>
              <m:r>
                <m:rPr>
                  <m:sty m:val="p"/>
                </m:rPr>
                <m:t>+</m:t>
              </m:r>
              <m:sSup>
                <m:e>
                  <m:r>
                    <m:rPr>
                      <m:sty m:val="p"/>
                    </m:rPr>
                    <m:t>sin</m:t>
                  </m:r>
                </m:e>
                <m:sup>
                  <m:r>
                    <m:t>2</m:t>
                  </m:r>
                </m:sup>
              </m:sSup>
              <m:d>
                <m:dPr>
                  <m:begChr m:val="("/>
                  <m:endChr m:val=")"/>
                  <m:sepChr m:val=""/>
                  <m:grow/>
                </m:dPr>
                <m:e>
                  <m:r>
                    <m:t>θ</m:t>
                  </m:r>
                </m:e>
              </m:d>
            </m:e>
            <m:e>
              <m:r>
                <m:rPr>
                  <m:sty m:val="p"/>
                </m:rPr>
                <m:t>=</m:t>
              </m:r>
              <m:sSup>
                <m:e>
                  <m:r>
                    <m:t>1</m:t>
                  </m:r>
                </m:e>
                <m:sup>
                  <m:r>
                    <m:t>2</m:t>
                  </m:r>
                </m:sup>
              </m:sSup>
            </m:e>
          </m:mr>
          <m:mr>
            <m:e>
              <m:sSup>
                <m:e>
                  <m:r>
                    <m:rPr>
                      <m:sty m:val="p"/>
                    </m:rPr>
                    <m:t>cos</m:t>
                  </m:r>
                </m:e>
                <m:sup>
                  <m:r>
                    <m:t>2</m:t>
                  </m:r>
                </m:sup>
              </m:sSup>
              <m:d>
                <m:dPr>
                  <m:begChr m:val="("/>
                  <m:endChr m:val=")"/>
                  <m:sepChr m:val=""/>
                  <m:grow/>
                </m:dPr>
                <m:e>
                  <m:r>
                    <m:t>θ</m:t>
                  </m:r>
                </m:e>
              </m:d>
              <m:r>
                <m:rPr>
                  <m:sty m:val="p"/>
                </m:rPr>
                <m:t>+</m:t>
              </m:r>
              <m:sSup>
                <m:e>
                  <m:d>
                    <m:dPr>
                      <m:begChr m:val="("/>
                      <m:endChr m:val=")"/>
                      <m:sepChr m:val=""/>
                      <m:grow/>
                    </m:dPr>
                    <m:e>
                      <m:r>
                        <m:rPr>
                          <m:nor/>
                          <m:sty m:val="p"/>
                        </m:rPr>
                        <m:t>-</m:t>
                      </m:r>
                      <m:f>
                        <m:fPr>
                          <m:type m:val="bar"/>
                        </m:fPr>
                        <m:num>
                          <m:rad>
                            <m:radPr>
                              <m:degHide m:val="1"/>
                            </m:radPr>
                            <m:deg/>
                            <m:e>
                              <m:r>
                                <m:t>2</m:t>
                              </m:r>
                            </m:e>
                          </m:rad>
                        </m:num>
                        <m:den>
                          <m:r>
                            <m:t>2</m:t>
                          </m:r>
                        </m:den>
                      </m:f>
                    </m:e>
                  </m:d>
                </m:e>
                <m:sup>
                  <m:r>
                    <m:t>2</m:t>
                  </m:r>
                </m:sup>
              </m:sSup>
            </m:e>
            <m:e>
              <m:r>
                <m:rPr>
                  <m:sty m:val="p"/>
                </m:rPr>
                <m:t>=</m:t>
              </m:r>
              <m:r>
                <m:t>1</m:t>
              </m:r>
            </m:e>
          </m:mr>
          <m:mr>
            <m:e>
              <m:sSup>
                <m:e>
                  <m:r>
                    <m:rPr>
                      <m:sty m:val="p"/>
                    </m:rPr>
                    <m:t>cos</m:t>
                  </m:r>
                </m:e>
                <m:sup>
                  <m:r>
                    <m:t>2</m:t>
                  </m:r>
                </m:sup>
              </m:sSup>
              <m:d>
                <m:dPr>
                  <m:begChr m:val="("/>
                  <m:endChr m:val=")"/>
                  <m:sepChr m:val=""/>
                  <m:grow/>
                </m:dPr>
                <m:e>
                  <m:r>
                    <m:t>θ</m:t>
                  </m:r>
                </m:e>
              </m:d>
            </m:e>
            <m:e>
              <m:r>
                <m:rPr>
                  <m:sty m:val="p"/>
                </m:rPr>
                <m:t>=</m:t>
              </m:r>
              <m:r>
                <m:t>1</m:t>
              </m:r>
              <m:r>
                <m:rPr>
                  <m:sty m:val="p"/>
                </m:rPr>
                <m:t>−</m:t>
              </m:r>
              <m:sSup>
                <m:e>
                  <m:d>
                    <m:dPr>
                      <m:begChr m:val="("/>
                      <m:endChr m:val=")"/>
                      <m:sepChr m:val=""/>
                      <m:grow/>
                    </m:dPr>
                    <m:e>
                      <m:r>
                        <m:rPr>
                          <m:nor/>
                          <m:sty m:val="p"/>
                        </m:rPr>
                        <m:t>-</m:t>
                      </m:r>
                      <m:f>
                        <m:fPr>
                          <m:type m:val="bar"/>
                        </m:fPr>
                        <m:num>
                          <m:rad>
                            <m:radPr>
                              <m:degHide m:val="1"/>
                            </m:radPr>
                            <m:deg/>
                            <m:e>
                              <m:r>
                                <m:t>2</m:t>
                              </m:r>
                            </m:e>
                          </m:rad>
                        </m:num>
                        <m:den>
                          <m:r>
                            <m:t>2</m:t>
                          </m:r>
                        </m:den>
                      </m:f>
                    </m:e>
                  </m:d>
                </m:e>
                <m:sup>
                  <m:r>
                    <m:t>2</m:t>
                  </m:r>
                </m:sup>
              </m:sSup>
            </m:e>
          </m:mr>
          <m:mr>
            <m:e>
              <m:sSup>
                <m:e>
                  <m:r>
                    <m:rPr>
                      <m:sty m:val="p"/>
                    </m:rPr>
                    <m:t>cos</m:t>
                  </m:r>
                </m:e>
                <m:sup>
                  <m:r>
                    <m:t>2</m:t>
                  </m:r>
                </m:sup>
              </m:sSup>
              <m:d>
                <m:dPr>
                  <m:begChr m:val="("/>
                  <m:endChr m:val=")"/>
                  <m:sepChr m:val=""/>
                  <m:grow/>
                </m:dPr>
                <m:e>
                  <m:r>
                    <m:t>θ</m:t>
                  </m:r>
                </m:e>
              </m:d>
            </m:e>
            <m:e>
              <m:r>
                <m:rPr>
                  <m:sty m:val="p"/>
                </m:rPr>
                <m:t>=</m:t>
              </m:r>
              <m:r>
                <m:t>1</m:t>
              </m:r>
              <m:r>
                <m:rPr>
                  <m:sty m:val="p"/>
                </m:rPr>
                <m:t>−</m:t>
              </m:r>
              <m:f>
                <m:fPr>
                  <m:type m:val="bar"/>
                </m:fPr>
                <m:num>
                  <m:r>
                    <m:t>2</m:t>
                  </m:r>
                </m:num>
                <m:den>
                  <m:r>
                    <m:t>4</m:t>
                  </m:r>
                </m:den>
              </m:f>
            </m:e>
          </m:mr>
          <m:mr>
            <m:e>
              <m:r>
                <m:rPr>
                  <m:sty m:val="p"/>
                </m:rPr>
                <m:t>cos</m:t>
              </m:r>
              <m:d>
                <m:dPr>
                  <m:begChr m:val="("/>
                  <m:endChr m:val=")"/>
                  <m:sepChr m:val=""/>
                  <m:grow/>
                </m:dPr>
                <m:e>
                  <m:r>
                    <m:t>θ</m:t>
                  </m:r>
                </m:e>
              </m:d>
            </m:e>
            <m:e>
              <m:r>
                <m:rPr>
                  <m:sty m:val="p"/>
                </m:rPr>
                <m:t>=</m:t>
              </m:r>
              <m:r>
                <m:rPr>
                  <m:nor/>
                  <m:sty m:val="p"/>
                </m:rPr>
                <m:t>-</m:t>
              </m:r>
              <m:rad>
                <m:radPr>
                  <m:degHide m:val="1"/>
                </m:radPr>
                <m:deg/>
                <m:e>
                  <m:r>
                    <m:t>1</m:t>
                  </m:r>
                  <m:r>
                    <m:rPr>
                      <m:sty m:val="p"/>
                    </m:rPr>
                    <m:t>−</m:t>
                  </m:r>
                  <m:f>
                    <m:fPr>
                      <m:type m:val="bar"/>
                    </m:fPr>
                    <m:num>
                      <m:r>
                        <m:t>1</m:t>
                      </m:r>
                    </m:num>
                    <m:den>
                      <m:r>
                        <m:t>2</m:t>
                      </m:r>
                    </m:den>
                  </m:f>
                </m:e>
              </m:rad>
            </m:e>
          </m:mr>
          <m:mr>
            <m:e>
              <m:r>
                <m:rPr>
                  <m:sty m:val="p"/>
                </m:rPr>
                <m:t>cos</m:t>
              </m:r>
              <m:d>
                <m:dPr>
                  <m:begChr m:val="("/>
                  <m:endChr m:val=")"/>
                  <m:sepChr m:val=""/>
                  <m:grow/>
                </m:dPr>
                <m:e>
                  <m:r>
                    <m:t>θ</m:t>
                  </m:r>
                </m:e>
              </m:d>
            </m:e>
            <m:e>
              <m:r>
                <m:rPr>
                  <m:sty m:val="p"/>
                </m:rPr>
                <m:t>=</m:t>
              </m:r>
              <m:r>
                <m:rPr>
                  <m:nor/>
                  <m:sty m:val="p"/>
                </m:rPr>
                <m:t>-</m:t>
              </m:r>
              <m:rad>
                <m:radPr>
                  <m:degHide m:val="1"/>
                </m:radPr>
                <m:deg/>
                <m:e>
                  <m:f>
                    <m:fPr>
                      <m:type m:val="bar"/>
                    </m:fPr>
                    <m:num>
                      <m:r>
                        <m:t>1</m:t>
                      </m:r>
                    </m:num>
                    <m:den>
                      <m:r>
                        <m:t>2</m:t>
                      </m:r>
                    </m:den>
                  </m:f>
                </m:e>
              </m:rad>
            </m:e>
          </m:mr>
        </m:m>
      </m:oMath>
    </w:p>
    <w:p>
      <w:pPr>
        <w:pStyle w:val="BodyText"/>
      </w:pPr>
      <w:r>
        <w:t xml:space="preserve">Now that we know the value of cosine, we can calculate the value of tangent with some division:</w:t>
      </w:r>
    </w:p>
    <w:p>
      <w:pPr>
        <w:pStyle w:val="BodyText"/>
      </w:pPr>
      <m:oMath>
        <m:r>
          <m:rPr>
            <m:sty m:val="p"/>
          </m:rPr>
          <m:t>tan</m:t>
        </m:r>
        <m:d>
          <m:dPr>
            <m:begChr m:val="("/>
            <m:endChr m:val=")"/>
            <m:sepChr m:val=""/>
            <m:grow/>
          </m:dPr>
          <m:e>
            <m:r>
              <m:t>θ</m:t>
            </m:r>
          </m:e>
        </m:d>
        <m:r>
          <m:rPr>
            <m:sty m:val="p"/>
          </m:rPr>
          <m:t>=</m:t>
        </m:r>
        <m:f>
          <m:fPr>
            <m:type m:val="bar"/>
          </m:fPr>
          <m:num>
            <m:r>
              <m:rPr>
                <m:nor/>
                <m:sty m:val="p"/>
              </m:rPr>
              <m:t>-</m:t>
            </m:r>
            <m:f>
              <m:fPr>
                <m:type m:val="bar"/>
              </m:fPr>
              <m:num>
                <m:rad>
                  <m:radPr>
                    <m:degHide m:val="1"/>
                  </m:radPr>
                  <m:deg/>
                  <m:e>
                    <m:r>
                      <m:t>2</m:t>
                    </m:r>
                  </m:e>
                </m:rad>
              </m:num>
              <m:den>
                <m:r>
                  <m:t>2</m:t>
                </m:r>
              </m:den>
            </m:f>
          </m:num>
          <m:den>
            <m:r>
              <m:rPr>
                <m:nor/>
                <m:sty m:val="p"/>
              </m:rPr>
              <m:t>-</m:t>
            </m:r>
            <m:rad>
              <m:radPr>
                <m:degHide m:val="1"/>
              </m:radPr>
              <m:deg/>
              <m:e>
                <m:f>
                  <m:fPr>
                    <m:type m:val="bar"/>
                  </m:fPr>
                  <m:num>
                    <m:r>
                      <m:t>1</m:t>
                    </m:r>
                  </m:num>
                  <m:den>
                    <m:r>
                      <m:t>2</m:t>
                    </m:r>
                  </m:den>
                </m:f>
              </m:e>
            </m:rad>
          </m:den>
        </m:f>
        <m:r>
          <m:rPr>
            <m:sty m:val="p"/>
          </m:rPr>
          <m:t>=</m:t>
        </m:r>
        <m:f>
          <m:fPr>
            <m:type m:val="bar"/>
          </m:fPr>
          <m:num>
            <m:f>
              <m:fPr>
                <m:type m:val="bar"/>
              </m:fPr>
              <m:num>
                <m:rad>
                  <m:radPr>
                    <m:degHide m:val="1"/>
                  </m:radPr>
                  <m:deg/>
                  <m:e>
                    <m:r>
                      <m:t>2</m:t>
                    </m:r>
                  </m:e>
                </m:rad>
              </m:num>
              <m:den>
                <m:r>
                  <m:t>2</m:t>
                </m:r>
              </m:den>
            </m:f>
          </m:num>
          <m:den>
            <m:f>
              <m:fPr>
                <m:type m:val="bar"/>
              </m:fPr>
              <m:num>
                <m:rad>
                  <m:radPr>
                    <m:degHide m:val="1"/>
                  </m:radPr>
                  <m:deg/>
                  <m:e>
                    <m:r>
                      <m:t>2</m:t>
                    </m:r>
                  </m:e>
                </m:rad>
              </m:num>
              <m:den>
                <m:r>
                  <m:t>2</m:t>
                </m:r>
              </m:den>
            </m:f>
          </m:den>
        </m:f>
        <m:r>
          <m:rPr>
            <m:sty m:val="p"/>
          </m:rPr>
          <m:t>=</m:t>
        </m:r>
        <m:r>
          <m:t>1</m:t>
        </m:r>
      </m:oMath>
    </w:p>
    <w:p>
      <w:pPr>
        <w:pStyle w:val="BodyText"/>
      </w:pPr>
      <w:r>
        <w:t xml:space="preserve">We can use one piece of information and the structure of the unit circle to figure out a whole bunch more, similar to how we used the value of one side length, the hypotenuse, and the structure of right triangles in the past to figure out the other side length of the right triangle.</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2022-12-14T07:17:43Z</dcterms:created>
  <dcterms:modified xsi:type="dcterms:W3CDTF">2022-12-14T07:17:43Z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0z0Y7EZnDa2Tt/atCDp+TMHWvkf20r8x7lD0q8sPCDL3OV21Ku/18FZTVbNZXlIk+D7HweJY4ipr2hHbvwALbw==</vt:lpwstr>
  </property>
</Properties>
</file>