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X6eab84b2473b242f6a1d674471f6c33c9696dc5"/>
    <w:p>
      <w:pPr>
        <w:pStyle w:val="Heading1"/>
      </w:pPr>
      <w:r>
        <w:t xml:space="preserve">Lesson 23: Números de dos dígitos en nuestro mundo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count, and represent collections of up to 99 objects.</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cuántos objetos hay en un grupo.</w:t>
      </w:r>
    </w:p>
    <w:bookmarkEnd w:id="25"/>
    <w:bookmarkStart w:id="26" w:name="lesson-purpose"/>
    <w:p>
      <w:pPr>
        <w:pStyle w:val="Heading3"/>
      </w:pPr>
      <w:r>
        <w:t xml:space="preserve">Lesson Purpose</w:t>
      </w:r>
    </w:p>
    <w:p>
      <w:pPr>
        <w:pStyle w:val="FirstParagraph"/>
      </w:pPr>
      <w:r>
        <w:t xml:space="preserve">The purpose of this lesson is for students to consider the magnitude of numbers to 99 by estimating and counting.</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explore quantities of objects in order to develop a sense of how big various two-digit numbers are and to leverage their understanding of tens and ones to practice counting methods.</w:t>
      </w:r>
    </w:p>
    <w:p>
      <w:pPr>
        <w:pStyle w:val="BodyText"/>
      </w:pPr>
      <w:r>
        <w:t xml:space="preserve">When students recognize the mathematical features of familiar real world objects and solve problems,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Collections of objects: Activity 1</w:t>
      </w:r>
    </w:p>
    <w:bookmarkEnd w:id="37"/>
    <w:bookmarkStart w:id="38" w:name="materials-to-copy"/>
    <w:p>
      <w:pPr>
        <w:pStyle w:val="Heading3"/>
      </w:pPr>
      <w:r>
        <w:t xml:space="preserve">Materials to Copy</w:t>
      </w:r>
    </w:p>
    <w:p>
      <w:pPr>
        <w:numPr>
          <w:ilvl w:val="0"/>
          <w:numId w:val="1006"/>
        </w:numPr>
        <w:pStyle w:val="Compact"/>
      </w:pPr>
      <w:r>
        <w:t xml:space="preserve">Estimating Quantities Card Sort,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2022-12-14T23:06:39Z</dcterms:created>
  <dcterms:modified xsi:type="dcterms:W3CDTF">2022-12-14T23:06:39Z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PoV4r5GlsX76hZU8m1vmFcODdfhuneBLvYl83o8V0qEagT32/S1JIz9hNiLKP8p9+msMfnoXvVA4A5mu+xrR/A==</vt:lpwstr>
  </property>
</Properties>
</file>