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Selecciona</w:t>
      </w:r>
      <w:r>
        <w:t xml:space="preserve"> </w:t>
      </w:r>
      <w:r>
        <w:rPr>
          <w:bCs/>
          <w:b/>
        </w:rPr>
        <w:t xml:space="preserve">todas</w:t>
      </w:r>
      <w:r>
        <w:t xml:space="preserve"> las afirmaciones correctas.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partitioned into 2 equal parts, each labeled one half." title="" id="22" name="Picture"/>
            <a:graphic>
              <a:graphicData uri="http://schemas.openxmlformats.org/drawingml/2006/picture">
                <pic:pic>
                  <pic:nvPicPr>
                    <pic:cNvPr descr="/app/tmp/embedder-1671062570.81936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partitioned into 3 equal parts, each labeled one third." title="" id="25" name="Picture"/>
            <a:graphic>
              <a:graphicData uri="http://schemas.openxmlformats.org/drawingml/2006/picture">
                <pic:pic>
                  <pic:nvPicPr>
                    <pic:cNvPr descr="/app/tmp/embedder-1671062570.914814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partitioned into 4 equal parts, each part labeled one fourth." title="" id="28" name="Picture"/>
            <a:graphic>
              <a:graphicData uri="http://schemas.openxmlformats.org/drawingml/2006/picture">
                <pic:pic>
                  <pic:nvPicPr>
                    <pic:cNvPr descr="/app/tmp/embedder-1671062570.968695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partitioned into 6 equal parts, each labeled one sixth." title="" id="31" name="Picture"/>
            <a:graphic>
              <a:graphicData uri="http://schemas.openxmlformats.org/drawingml/2006/picture">
                <pic:pic>
                  <pic:nvPicPr>
                    <pic:cNvPr descr="/app/tmp/embedder-1671062571.027679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\(\frac{1}</w:t>
      </w:r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es equivalente a </w:t>
      </w:r>
      <m:oMath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es equivalente 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2</m:t>
            </m:r>
          </m:den>
        </m:f>
      </m:oMath>
      <w:r>
        <w:t xml:space="preserve"> es equivalente a </w:t>
      </w:r>
      <m:oMath>
        <m:f>
          <m:fPr>
            <m:type m:val="bar"/>
          </m:fPr>
          <m:num>
            <m:r>
              <m:t>4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2</m:t>
            </m:r>
          </m:den>
        </m:f>
      </m:oMath>
      <w:r>
        <w:t xml:space="preserve"> es equivalente a </w:t>
      </w:r>
      <m:oMath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es equivalente a 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es equivalente a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(de la Unidad 5, Lección 10)</w:t>
      </w:r>
    </w:p>
    <w:p>
      <w:pPr>
        <w:numPr>
          <w:ilvl w:val="0"/>
          <w:numId w:val="1001"/>
        </w:numPr>
      </w:pPr>
      <w:r>
        <w:t xml:space="preserve">Escribe fracciones que representen la parte sombreada de cada diagrama. Escribe todas las que puedas.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971800" cy="320045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62571.08358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971800" cy="320045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62571.14175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5, Lección 11)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Tyler hizo este dibujo y dijo que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es equivalente a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Explica por qué Tyler no tiene razón.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1037689"/>
            <wp:effectExtent b="0" l="0" r="0" t="0"/>
            <wp:docPr descr="2 number lines. First, 0 to 2 thirds by thirds, unevenly spaced tick marks. Second, 0 to 3 fourths by fourths, unevenly spaced tick marks." title="" id="40" name="Picture"/>
            <a:graphic>
              <a:graphicData uri="http://schemas.openxmlformats.org/drawingml/2006/picture">
                <pic:pic>
                  <pic:nvPicPr>
                    <pic:cNvPr descr="/app/tmp/embedder-1671062571.212186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0376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Encuentra una fracción equivalente a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Encuentra una fracción equivalente a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(de la Unidad 5, Lección 12)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Escribe 10 como una fracción de dos maneras diferentes.</w:t>
      </w:r>
    </w:p>
    <w:p>
      <w:pPr>
        <w:numPr>
          <w:ilvl w:val="1"/>
          <w:numId w:val="1004"/>
        </w:numPr>
        <w:pStyle w:val="Compact"/>
      </w:pPr>
      <w:r>
        <w:t xml:space="preserve">¿</w:t>
      </w:r>
      <m:oMath>
        <m:f>
          <m:fPr>
            <m:type m:val="bar"/>
          </m:fPr>
          <m:num>
            <m:r>
              <m:t>88</m:t>
            </m:r>
          </m:num>
          <m:den>
            <m:r>
              <m:t>8</m:t>
            </m:r>
          </m:den>
        </m:f>
      </m:oMath>
      <w:r>
        <w:t xml:space="preserve"> es equivalente a un número entero?</w:t>
      </w:r>
    </w:p>
    <w:p>
      <w:pPr>
        <w:numPr>
          <w:ilvl w:val="0"/>
          <w:numId w:val="1000"/>
        </w:numPr>
        <w:pStyle w:val="Compact"/>
      </w:pPr>
      <w:r>
        <w:t xml:space="preserve">(de la Unidad 5, Lección 13)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Decide si cada fracción es un número entero. Explica o muestra cómo razonaste.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100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100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100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100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100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Si sigues doblando tiras de fracciones, ¿en cuántas partes las puedes doblar? ¿Puedes doblarlas en 100 partes iguales?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2022-12-15T00:02:51Z</dcterms:created>
  <dcterms:modified xsi:type="dcterms:W3CDTF">2022-12-15T00:02:51Z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eoXPtw8Jt5LjO5jQ8rCAIGM7GfpzqH/tkTN3M7HOP2ZegYruY4FPzybfO86j1KxIWtNgfGciIvYUuZJDxcE8Ow==</vt:lpwstr>
  </property>
</Properties>
</file>